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color w:val="050505"/>
          <w:sz w:val="24"/>
          <w:szCs w:val="24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050505"/>
              <w:sz w:val="24"/>
              <w:szCs w:val="24"/>
              <w:highlight w:val="white"/>
              <w:rtl w:val="0"/>
            </w:rPr>
            <w:t xml:space="preserve">9 փետրվարի 2021 թ.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5050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50505"/>
          <w:sz w:val="24"/>
          <w:szCs w:val="24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050505"/>
              <w:sz w:val="24"/>
              <w:szCs w:val="24"/>
              <w:highlight w:val="white"/>
              <w:rtl w:val="0"/>
            </w:rPr>
            <w:t xml:space="preserve">ՀԱՅՏԱՐԱՐՈՒԹՅՈՒՆ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050505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Tahoma" w:cs="Tahoma" w:eastAsia="Tahoma" w:hAnsi="Tahoma"/>
              <w:color w:val="050505"/>
              <w:highlight w:val="white"/>
              <w:rtl w:val="0"/>
            </w:rPr>
            <w:t xml:space="preserve">2021թ․ փետրվարի 7-ին ՀՀ Ազգային ժողովի «Իմ քայլը» խմբակցությունը վարչապետ Նիկոլ Փաշինյանի հետ ունեցած հանդիպման արդյունքում արձանագրել է, որ արտահերթ խորհրդարանական ընտրություններ անցկացնելու մասին առաջարկը դրական արձագանք չի ստացել խորհրդարանական ընդդիմության կողմից և հասարակության լայն շերտերի շրջանում չկա արտահերթ ընտրությունների պահանջ: 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color w:val="050505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Tahoma" w:cs="Tahoma" w:eastAsia="Tahoma" w:hAnsi="Tahoma"/>
              <w:color w:val="050505"/>
              <w:highlight w:val="white"/>
              <w:rtl w:val="0"/>
            </w:rPr>
            <w:t xml:space="preserve">Պնդումը, թե լայն շերտերի շրջանում չկա արտահերթ ընտրությունների պահանջ, նույնքան մանիպուլյատիվ է, որքան խորհրդարանական և արտախորհրդարանական ընդդիմության պնդումը, թե գործող կառավարության կողմից կազմակերպված ընտրությունները անպայմանորեն լինելու են իրենց օգտին կեղծված։</w:t>
          </w:r>
        </w:sdtContent>
      </w:sdt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Քաղաքացիական հասարակության և քաղաքական ուժերի բազմաթիվ ներկայացուցիչներ հայտարարել են, որ տեսնում են արտահերթ ընտրությունները՝ որպես ներկայիս վստահության ճգնաժամի հաղթահարման միակ միջոց։ </w:t>
          </w:r>
        </w:sdtContent>
      </w:sdt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Ստեղծված իրավիճակում արտահերթ ընտրություններից հրաժարվելը  հիմք է տալիս ենթադրել, որ խորհրդարանական մեծամասնությունը փաստացի իր</w:t>
          </w:r>
        </w:sdtContent>
      </w:sdt>
      <w:sdt>
        <w:sdtPr>
          <w:tag w:val="goog_rdk_6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 նեղ կուսակցական շահից դրդված է շահարկում հանրային պահանջի գաղափարը` իրապես չցանկանալով իմանալ կամ հաշվի առնել այն: Կառչելով մանդատից և արտոնություններից՝ կուսակցական շահը հանրայինին գերադասելու անպատասխանատվությամբ այն որևէ կերպ չի տարբերվում նախորդ՝ 2018թ. ժողովրդական հեղափոխության արդյունքում մերժված իշխանություններից:</w:t>
          </w:r>
        </w:sdtContent>
      </w:sdt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</w:rPr>
      </w:pPr>
      <w:sdt>
        <w:sdtPr>
          <w:tag w:val="goog_rdk_7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Հ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արկ է արձանագրել, որ որոշ քաղաքական շրջանակների կողմից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sdt>
        <w:sdtPr>
          <w:tag w:val="goog_rdk_9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2020 թվականի նոյեմբերի 10-ից մինչ օրս կազմակերպվող բողոքի ցույցերին հանրային լայն աջակցության բացակայությունը պայմանավորված է երկու հիմնական գործոններով.</w:t>
          </w:r>
        </w:sdtContent>
      </w:sdt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u w:val="no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նախկին ոչ ժողովրդավարական ու կոռումպացված համակարգի վերականգնման սպառնալիքով, և</w:t>
          </w:r>
        </w:sdtContent>
      </w:sdt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u w:val="no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այն հույսով, որ քաղաքական մեծամասնությունն, այնուամենայնիվ, կգիտակցի պահի լրջությունը և կկազմակերպի արտահերթ, ազատ և մրցակցային ընտրություններ՝ նոր իրողությունների պայմաններում ժողովրդի կամարտահայտմամբ իշխանություն ձևավորելու համար:</w:t>
          </w:r>
        </w:sdtContent>
      </w:sdt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</w:rPr>
      </w:pPr>
      <w:sdt>
        <w:sdtPr>
          <w:tag w:val="goog_rdk_12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Ծանր պատերազմից հետո Հայաստանի Հանրապետության ժողովրդավարական վերականգնմանն ուղղված համակարգային փոփոխությունները չեն կարող երաշխավորված լինել առանց հանրային վստահություն ունեցող իշխանությունների: Հանրության զգալի մասը չունի որևէ վստահություն, որ ներկա իշխանություններն կարողունակ են ոչ միայն դիմագրավել պատերազմի հետևանքով ստեղծված ներքին և արտաքին նոր մարտահրավերներին, այլև՝ ապահովել Հայաստանի խաղաղ զարգացման երաշխիքներ։</w:t>
          </w:r>
        </w:sdtContent>
      </w:sdt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Arial" w:cs="Arial" w:eastAsia="Arial" w:hAnsi="Arial"/>
          <w:color w:val="050505"/>
          <w:highlight w:val="whit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Վերահաստատելով արտահերթ ընտրությունների անցկացման անհրաժեշտությունը՝ մենք, քաղաքացիական հասարակության ներքոստորագրյալ ներկայացուցիչներս, պահանջում ենք «Իմ քայլը» խմբակցությունից՝ գիտակցել սեփական պատասխանատվությունը ՀՀ քաղաքացիների ու պետության առջև և 2021 թվականի քաղաքական օրակարգ վերադարձնել  արտահերթ ընտրությունների կազմակերպման հարցը՝ մինչ այդ սեղմ ու հստակ ժամանակացույցով ապահովելով </w:t>
          </w:r>
        </w:sdtContent>
      </w:sdt>
      <w:sdt>
        <w:sdtPr>
          <w:tag w:val="goog_rdk_14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ընտրական ու հարակից օրենսդրության բարեփոխումը և նախապատրաստելով </w:t>
          </w:r>
        </w:sdtContent>
      </w:sdt>
      <w:sdt>
        <w:sdtPr>
          <w:tag w:val="goog_rdk_15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ընտրական հանձնաժողովներն ու դատաիրավական համակարգը </w:t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ը</w:t>
          </w:r>
        </w:sdtContent>
      </w:sdt>
      <w:sdt>
        <w:sdtPr>
          <w:tag w:val="goog_rdk_17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նտրական օրենսդրության նվազագույն պահանջների ապահովմանը: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sdt>
        <w:sdtPr>
          <w:tag w:val="goog_rdk_18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Թրանսփարենսի Ինթերնեշնլ հակակոռուպցիոն կենտրոն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sdt>
        <w:sdtPr>
          <w:tag w:val="goog_rdk_19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Հելսինկյան քաղաքացիական ասամբլեայի Վանաձորի գրասենյակ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sdt>
        <w:sdtPr>
          <w:tag w:val="goog_rdk_20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Ժուռնալիստների «Ասպարեզ» ակումբ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sdt>
        <w:sdtPr>
          <w:tag w:val="goog_rdk_21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Իրավական զարգացման և պաշտպանության հիմնադրամ 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sdt>
        <w:sdtPr>
          <w:tag w:val="goog_rdk_22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Համայնքային համախմբման և աջակցության կենտրոն ՀԿ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sdt>
        <w:sdtPr>
          <w:tag w:val="goog_rdk_23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Իրազեկ քաղաքացիների միավորում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sdt>
        <w:sdtPr>
          <w:tag w:val="goog_rdk_24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Խտրականության դեմ պայքարի և հանուն հավասարության կոալիցիա </w:t>
            <w:br w:type="textWrapping"/>
            <w:br w:type="textWrapping"/>
            <w:t xml:space="preserve">Հելսինկյան ասոցիացիա իրավապաշտպան ՀԿ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sdt>
        <w:sdtPr>
          <w:tag w:val="goog_rdk_25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Խաղաղության երկխոսություն ՀԿ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sdt>
        <w:sdtPr>
          <w:tag w:val="goog_rdk_26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Փինք իրավապաշտպան ՀԿ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sdt>
        <w:sdtPr>
          <w:tag w:val="goog_rdk_27"/>
        </w:sdtPr>
        <w:sdtContent>
          <w:r w:rsidDel="00000000" w:rsidR="00000000" w:rsidRPr="00000000">
            <w:rPr>
              <w:rFonts w:ascii="Tahoma" w:cs="Tahoma" w:eastAsia="Tahoma" w:hAnsi="Tahoma"/>
              <w:rtl w:val="0"/>
            </w:rPr>
            <w:t xml:space="preserve">Սոնա Մանուսյան, հոգեբան</w:t>
          </w:r>
        </w:sdtContent>
      </w:sdt>
    </w:p>
    <w:sectPr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xuVmIamWYfltGB8Facaz7+Rrw==">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2021-02-08T07:51:00Z</dcterms:created>
  <dc:creator>Sona Ayvazyan</dc:creator>
</cp:coreProperties>
</file>