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1E3C" w14:textId="20F9DB35" w:rsidR="00573E04" w:rsidRPr="00C35317" w:rsidRDefault="002B351C" w:rsidP="00C35317">
      <w:pPr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ՀԱՅԱՍՏԱՆԸ</w:t>
      </w:r>
      <w:r w:rsidRPr="00C35317">
        <w:rPr>
          <w:rFonts w:ascii="Sylfaen" w:hAnsi="Sylfaen"/>
          <w:b/>
          <w:bCs/>
          <w:lang w:val="hy-AM"/>
        </w:rPr>
        <w:t xml:space="preserve"> ԳՐԱՆՑՈՒՄ Է ԷԱԿԱՆ ՀԵՏԸՆԹԱՑ ԽՈՇՏԱՆԳՈՒՄՆԵՐԻ ԴԵՄ ՊԱՅՔԱՐԻ ՀԱՐՑՈՒՄ</w:t>
      </w:r>
    </w:p>
    <w:p w14:paraId="06D3D3D4" w14:textId="40A705EE" w:rsidR="00573E04" w:rsidRPr="00EE0E4F" w:rsidRDefault="00F26A3C" w:rsidP="003B568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Մենք՝ քաղաքացիական հասարակության նշյալ կազմակերպություններս, </w:t>
      </w:r>
      <w:r w:rsidR="00784F06">
        <w:rPr>
          <w:rFonts w:ascii="Sylfaen" w:hAnsi="Sylfaen"/>
          <w:lang w:val="hy-AM"/>
        </w:rPr>
        <w:t>խորապես մտահոգված ենք, որ ՀՀ</w:t>
      </w:r>
      <w:r w:rsidR="00573E04" w:rsidRPr="00F26A3C">
        <w:rPr>
          <w:rFonts w:ascii="Sylfaen" w:hAnsi="Sylfaen"/>
          <w:lang w:val="hy-AM"/>
        </w:rPr>
        <w:t xml:space="preserve"> քրեական դատավարության նոր օրենսգրք</w:t>
      </w:r>
      <w:r w:rsidR="007D7787">
        <w:rPr>
          <w:rFonts w:ascii="Sylfaen" w:hAnsi="Sylfaen"/>
          <w:lang w:val="hy-AM"/>
        </w:rPr>
        <w:t xml:space="preserve">ի </w:t>
      </w:r>
      <w:r w:rsidR="00573E04" w:rsidRPr="00F26A3C">
        <w:rPr>
          <w:rFonts w:ascii="Sylfaen" w:hAnsi="Sylfaen"/>
          <w:lang w:val="hy-AM"/>
        </w:rPr>
        <w:t>փոփոխություններ</w:t>
      </w:r>
      <w:r w:rsidR="007D7787">
        <w:rPr>
          <w:rFonts w:ascii="Sylfaen" w:hAnsi="Sylfaen"/>
          <w:lang w:val="hy-AM"/>
        </w:rPr>
        <w:t>ով</w:t>
      </w:r>
      <w:r w:rsidR="00573E04" w:rsidRPr="00F26A3C">
        <w:rPr>
          <w:rFonts w:ascii="Sylfaen" w:hAnsi="Sylfaen"/>
          <w:lang w:val="hy-AM"/>
        </w:rPr>
        <w:t xml:space="preserve"> </w:t>
      </w:r>
      <w:r w:rsidR="007D7787">
        <w:rPr>
          <w:rFonts w:ascii="Sylfaen" w:hAnsi="Sylfaen"/>
          <w:lang w:val="hy-AM"/>
        </w:rPr>
        <w:t xml:space="preserve">խոշտանգման գործերի նախաքննությունը փոխանցվում է ԱԱԾ քննիչներին։ </w:t>
      </w:r>
      <w:r w:rsidR="00EE0E4F">
        <w:rPr>
          <w:rFonts w:ascii="Sylfaen" w:hAnsi="Sylfaen"/>
          <w:lang w:val="hy-AM"/>
        </w:rPr>
        <w:t>Արձանագրում ենք, որ այս փոփոխություններ</w:t>
      </w:r>
      <w:r w:rsidR="004E41D5">
        <w:rPr>
          <w:rFonts w:ascii="Sylfaen" w:hAnsi="Sylfaen"/>
          <w:lang w:val="hy-AM"/>
        </w:rPr>
        <w:t>ը էական հետընթաց են մարդու իրավունքների պաշտպանության տեսանկյունից, քանի որ</w:t>
      </w:r>
      <w:r w:rsidR="00EE0E4F">
        <w:rPr>
          <w:rFonts w:ascii="Sylfaen" w:hAnsi="Sylfaen"/>
          <w:lang w:val="hy-AM"/>
        </w:rPr>
        <w:t xml:space="preserve"> </w:t>
      </w:r>
      <w:r w:rsidR="003B5689">
        <w:rPr>
          <w:rFonts w:ascii="Sylfaen" w:hAnsi="Sylfaen"/>
          <w:lang w:val="hy-AM"/>
        </w:rPr>
        <w:t xml:space="preserve">ինստիտուցիոնալ առումով </w:t>
      </w:r>
      <w:r w:rsidR="00A710E8">
        <w:rPr>
          <w:rFonts w:ascii="Sylfaen" w:hAnsi="Sylfaen"/>
          <w:lang w:val="hy-AM"/>
        </w:rPr>
        <w:t>նվազեցնում</w:t>
      </w:r>
      <w:r w:rsidR="003B5689">
        <w:rPr>
          <w:rFonts w:ascii="Sylfaen" w:hAnsi="Sylfaen"/>
          <w:lang w:val="hy-AM"/>
        </w:rPr>
        <w:t xml:space="preserve"> են </w:t>
      </w:r>
      <w:r w:rsidR="00573E04" w:rsidRPr="00EE0E4F">
        <w:rPr>
          <w:rFonts w:ascii="Sylfaen" w:hAnsi="Sylfaen"/>
          <w:lang w:val="hy-AM"/>
        </w:rPr>
        <w:t xml:space="preserve">խոշտանգումներից զերծ մնալու բացարձակ իրավունքի պաշտպանության </w:t>
      </w:r>
      <w:r w:rsidR="00621ADF">
        <w:rPr>
          <w:rFonts w:ascii="Sylfaen" w:hAnsi="Sylfaen"/>
          <w:lang w:val="hy-AM"/>
        </w:rPr>
        <w:t>երաշխիքները։</w:t>
      </w:r>
    </w:p>
    <w:p w14:paraId="3E37ED14" w14:textId="2A9B6EDB" w:rsidR="00573E04" w:rsidRPr="00227D2F" w:rsidRDefault="005B4382" w:rsidP="00C3531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Նախևառաջ, օրինագծի ընդունումը </w:t>
      </w:r>
      <w:r w:rsidR="00227D2F" w:rsidRPr="00DA20DB">
        <w:rPr>
          <w:rFonts w:ascii="Sylfaen" w:hAnsi="Sylfaen"/>
          <w:b/>
          <w:bCs/>
          <w:lang w:val="hy-AM"/>
        </w:rPr>
        <w:t>խնդրահարույց է</w:t>
      </w:r>
      <w:r w:rsidR="00DA20DB">
        <w:rPr>
          <w:rFonts w:ascii="Sylfaen" w:hAnsi="Sylfaen"/>
          <w:b/>
          <w:bCs/>
          <w:lang w:val="hy-AM"/>
        </w:rPr>
        <w:t xml:space="preserve"> </w:t>
      </w:r>
      <w:r w:rsidRPr="00DA20DB">
        <w:rPr>
          <w:rFonts w:ascii="Sylfaen" w:hAnsi="Sylfaen"/>
          <w:b/>
          <w:bCs/>
          <w:lang w:val="hy-AM"/>
        </w:rPr>
        <w:t>ընթացակարգի</w:t>
      </w:r>
      <w:r>
        <w:rPr>
          <w:rFonts w:ascii="Sylfaen" w:hAnsi="Sylfaen"/>
          <w:lang w:val="hy-AM"/>
        </w:rPr>
        <w:t xml:space="preserve"> </w:t>
      </w:r>
      <w:r w:rsidR="00227D2F">
        <w:rPr>
          <w:rFonts w:ascii="Sylfaen" w:hAnsi="Sylfaen"/>
          <w:lang w:val="hy-AM"/>
        </w:rPr>
        <w:t xml:space="preserve">առումով, քանի որ </w:t>
      </w:r>
      <w:r>
        <w:rPr>
          <w:rFonts w:ascii="Times New Roman" w:hAnsi="Times New Roman" w:cs="Times New Roman"/>
          <w:lang w:val="hy-AM"/>
        </w:rPr>
        <w:t xml:space="preserve"> </w:t>
      </w:r>
      <w:r w:rsidR="00573E04" w:rsidRPr="00EE0E4F">
        <w:rPr>
          <w:rFonts w:ascii="Sylfaen" w:hAnsi="Sylfaen"/>
          <w:lang w:val="hy-AM"/>
        </w:rPr>
        <w:t xml:space="preserve"> </w:t>
      </w:r>
      <w:r w:rsidR="00573E04" w:rsidRPr="00227D2F">
        <w:rPr>
          <w:rFonts w:ascii="Sylfaen" w:hAnsi="Sylfaen"/>
          <w:lang w:val="hy-AM"/>
        </w:rPr>
        <w:t xml:space="preserve">Օրենսգրքի առաջին ընթերցմամբ ընդունված խմբագրությամբ՝ 181-րդ հոդվածի 6-րդ մասում խոշտանգման գործերի քննության քննչական ենթակայությունը վերապահվել էր Հատուկ քննչական ծառայության քննիչներին, մինչդեռ </w:t>
      </w:r>
      <w:r w:rsidR="00AE7CD3">
        <w:rPr>
          <w:rFonts w:ascii="Sylfaen" w:hAnsi="Sylfaen"/>
          <w:lang w:val="hy-AM"/>
        </w:rPr>
        <w:t>երկո</w:t>
      </w:r>
      <w:r w:rsidR="00573E04" w:rsidRPr="00227D2F">
        <w:rPr>
          <w:rFonts w:ascii="Sylfaen" w:hAnsi="Sylfaen"/>
          <w:lang w:val="hy-AM"/>
        </w:rPr>
        <w:t xml:space="preserve">րդ ընթերցմամբ և ամբողջությամբ ընդունված խմբագրությամբ խոշտանգումն ամրագրող 450-րդ հոդվածը ներառվել է ազգային անվտանգության ծառայության քննիչների քննչական ենթակայությանը վերապահված գործերի ցանկում։ </w:t>
      </w:r>
      <w:r w:rsidR="00AE7CD3">
        <w:rPr>
          <w:rFonts w:ascii="Sylfaen" w:hAnsi="Sylfaen"/>
          <w:lang w:val="hy-AM"/>
        </w:rPr>
        <w:t>Փաստորեն հանրությունը և մասնագիտական համայնքը հնարավորություն չի ունեցել ժամանակին տեղեկանալու և իր կարծիքը ներկայացնելու նման արմատական փոփոխության վերաբերյալ։</w:t>
      </w:r>
    </w:p>
    <w:p w14:paraId="0E74A48A" w14:textId="1D8E0370" w:rsidR="000A3A41" w:rsidRDefault="007C38F8" w:rsidP="000A3A4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000000"/>
          <w:lang w:val="hy-AM" w:eastAsia="ru-RU"/>
        </w:rPr>
      </w:pPr>
      <w:r>
        <w:rPr>
          <w:rFonts w:ascii="Sylfaen" w:hAnsi="Sylfaen"/>
          <w:lang w:val="hy-AM"/>
        </w:rPr>
        <w:t>Այսպիսով,</w:t>
      </w:r>
      <w:r w:rsidR="00573E04" w:rsidRPr="00DF7EFD">
        <w:rPr>
          <w:rFonts w:ascii="Sylfaen" w:hAnsi="Sylfaen"/>
          <w:lang w:val="hy-AM"/>
        </w:rPr>
        <w:t xml:space="preserve"> «Հայաստանի Հանրապետության քրեական դատավարության օրենսգրքում փոփոխություններ և լրացումներ կատարելու մասին» օրենքի 5-րդ հոդվածի համաձայն</w:t>
      </w:r>
      <w:r>
        <w:rPr>
          <w:rFonts w:ascii="Sylfaen" w:hAnsi="Sylfaen"/>
          <w:lang w:val="hy-AM"/>
        </w:rPr>
        <w:t>՝</w:t>
      </w:r>
      <w:r w:rsidR="00573E04" w:rsidRPr="00DF7EFD">
        <w:rPr>
          <w:rFonts w:ascii="Sylfaen" w:hAnsi="Sylfaen"/>
          <w:lang w:val="hy-AM"/>
        </w:rPr>
        <w:t xml:space="preserve"> «Օրենսգրքի 190-րդ հոդվածի 3-րդ մասը շարադրել հետևյալ խմբագրությամբ. </w:t>
      </w:r>
      <w:r w:rsidR="00573E04" w:rsidRPr="00DA20DB">
        <w:rPr>
          <w:rFonts w:ascii="Sylfaen" w:hAnsi="Sylfaen"/>
          <w:lang w:val="hy-AM"/>
        </w:rPr>
        <w:t>«3. Նախաքննությունը Հայաստանի Հանրապետության բարձրաստիճան պաշտոնատար անձանց կատարած հանցագործությունների, պետական ծառայություն իրականացնող անձանց` իրենց պաշտոնեական դիրքի հետ կապված սույն հոդվածի 5.1-ին մասով չնախատեսված հանցագործությունների, ինչպես նաև Հայաստանի Հանրապետության քրեական օրենսգրքի 149, 150, 154.1, 189.1 (բացառությամբ 189.1-ին հոդվածի 2-րդ մասի 3-րդ կետի), 217, 217.1 , 219-221, 224, 226, 226.1, 233, 234, 250, 299, 302-307, 329, 329.1, 330, 384-397.1 հոդվածներով նախատեսված հանցագործությունների վերաբերյալ գործերով կատարում են ազգային անվտանգության մարմինների քննիչները»:</w:t>
      </w:r>
      <w:r w:rsidR="00DA20DB">
        <w:rPr>
          <w:rFonts w:ascii="Sylfaen" w:hAnsi="Sylfaen"/>
          <w:lang w:val="hy-AM"/>
        </w:rPr>
        <w:t xml:space="preserve"> </w:t>
      </w:r>
      <w:r w:rsidR="00127484">
        <w:rPr>
          <w:rFonts w:ascii="Sylfaen" w:hAnsi="Sylfaen"/>
          <w:lang w:val="hy-AM"/>
        </w:rPr>
        <w:t>Այսպիսով</w:t>
      </w:r>
      <w:r w:rsidR="00127484" w:rsidRPr="00127484">
        <w:rPr>
          <w:rFonts w:ascii="Sylfaen" w:hAnsi="Sylfaen"/>
          <w:lang w:val="hy-AM"/>
        </w:rPr>
        <w:t>, ը</w:t>
      </w:r>
      <w:r w:rsidR="00573E04" w:rsidRPr="00DA20DB">
        <w:rPr>
          <w:rFonts w:ascii="Sylfaen" w:hAnsi="Sylfaen"/>
          <w:lang w:val="hy-AM"/>
        </w:rPr>
        <w:t xml:space="preserve">նդունված օրենքով </w:t>
      </w:r>
      <w:r w:rsidR="00573E04" w:rsidRPr="00DA20DB">
        <w:rPr>
          <w:rFonts w:ascii="Sylfaen" w:hAnsi="Sylfaen"/>
          <w:b/>
          <w:bCs/>
          <w:lang w:val="hy-AM"/>
        </w:rPr>
        <w:t>ՀՔԾ-ն,</w:t>
      </w:r>
      <w:r w:rsidR="00573E04" w:rsidRPr="00DA20DB">
        <w:rPr>
          <w:rFonts w:ascii="Sylfaen" w:hAnsi="Sylfaen"/>
          <w:lang w:val="hy-AM"/>
        </w:rPr>
        <w:t xml:space="preserve"> որպես բարձրաստիճան պաշտոնատար անձանց կատարած հանցագործությունների և պետական ծառայություն իրականացնող անձանց՝ իրենց պաշտոնեական դիրքի հետ կապված հանցագործությունների, այդ թվում նաև՝ խոշտանգումների, քննություն իրականացնող անկախ մարմին </w:t>
      </w:r>
      <w:r w:rsidR="00573E04" w:rsidRPr="00DA20DB">
        <w:rPr>
          <w:rFonts w:ascii="Sylfaen" w:hAnsi="Sylfaen"/>
          <w:b/>
          <w:bCs/>
          <w:lang w:val="hy-AM"/>
        </w:rPr>
        <w:t>դադարել է գոյություն ունենալ</w:t>
      </w:r>
      <w:r w:rsidR="00573E04" w:rsidRPr="00DA20DB">
        <w:rPr>
          <w:rFonts w:ascii="Sylfaen" w:hAnsi="Sylfaen"/>
          <w:lang w:val="hy-AM"/>
        </w:rPr>
        <w:t xml:space="preserve">, իսկ խոշտանգման գործերի քննության քննչական ենթակայությունը վերապահվել է ազգային անվտանգության ծառայությանը: </w:t>
      </w:r>
      <w:r w:rsidR="000A3A41">
        <w:rPr>
          <w:rFonts w:ascii="Sylfaen" w:hAnsi="Sylfaen"/>
          <w:lang w:val="hy-AM"/>
        </w:rPr>
        <w:t xml:space="preserve">Մինչդեռ, </w:t>
      </w:r>
      <w:r w:rsidR="000A3A41" w:rsidRPr="00494BCF">
        <w:rPr>
          <w:rFonts w:ascii="Sylfaen" w:eastAsia="Times New Roman" w:hAnsi="Sylfaen" w:cs="Arial"/>
          <w:color w:val="000000"/>
          <w:lang w:val="hy-AM" w:eastAsia="ru-RU"/>
        </w:rPr>
        <w:t xml:space="preserve">2019թ. ՀՀ կառավարության կողմից ընդունված Հայաստանի Հանրապետության հակակոռուպցիոն ռազմավարության համաձայն՝ նախատեսվում էր պահպանել հատուկ քննչական ծառայությունը՝ որպես </w:t>
      </w:r>
      <w:r w:rsidR="000A3A41" w:rsidRPr="00494BCF">
        <w:rPr>
          <w:rFonts w:ascii="Sylfaen" w:hAnsi="Sylfaen" w:cs="Sylfaen"/>
          <w:lang w:val="hy-AM"/>
        </w:rPr>
        <w:t>խոշտանգումների</w:t>
      </w:r>
      <w:r w:rsidR="000A3A41" w:rsidRPr="00494BCF">
        <w:rPr>
          <w:lang w:val="hy-AM"/>
        </w:rPr>
        <w:t xml:space="preserve"> </w:t>
      </w:r>
      <w:r w:rsidR="000A3A41" w:rsidRPr="00494BCF">
        <w:rPr>
          <w:rFonts w:ascii="Sylfaen" w:hAnsi="Sylfaen" w:cs="Sylfaen"/>
          <w:lang w:val="hy-AM"/>
        </w:rPr>
        <w:t>և</w:t>
      </w:r>
      <w:r w:rsidR="000A3A41" w:rsidRPr="00494BCF">
        <w:rPr>
          <w:lang w:val="hy-AM"/>
        </w:rPr>
        <w:t xml:space="preserve"> </w:t>
      </w:r>
      <w:r w:rsidR="000A3A41" w:rsidRPr="00494BCF">
        <w:rPr>
          <w:rFonts w:ascii="Sylfaen" w:hAnsi="Sylfaen" w:cs="Sylfaen"/>
          <w:lang w:val="hy-AM"/>
        </w:rPr>
        <w:t>վատ</w:t>
      </w:r>
      <w:r w:rsidR="000A3A41" w:rsidRPr="00494BCF">
        <w:rPr>
          <w:lang w:val="hy-AM"/>
        </w:rPr>
        <w:t xml:space="preserve"> </w:t>
      </w:r>
      <w:r w:rsidR="000A3A41" w:rsidRPr="00494BCF">
        <w:rPr>
          <w:rFonts w:ascii="Sylfaen" w:hAnsi="Sylfaen" w:cs="Sylfaen"/>
          <w:lang w:val="hy-AM"/>
        </w:rPr>
        <w:t>վերաբերմունքի</w:t>
      </w:r>
      <w:r w:rsidR="000A3A41" w:rsidRPr="00494BCF">
        <w:rPr>
          <w:lang w:val="hy-AM"/>
        </w:rPr>
        <w:t xml:space="preserve"> </w:t>
      </w:r>
      <w:r w:rsidR="000A3A41" w:rsidRPr="00494BCF">
        <w:rPr>
          <w:rFonts w:ascii="Sylfaen" w:hAnsi="Sylfaen" w:cs="Sylfaen"/>
          <w:lang w:val="hy-AM"/>
        </w:rPr>
        <w:t>այլ</w:t>
      </w:r>
      <w:r w:rsidR="000A3A41" w:rsidRPr="00494BCF">
        <w:rPr>
          <w:lang w:val="hy-AM"/>
        </w:rPr>
        <w:t xml:space="preserve"> </w:t>
      </w:r>
      <w:r w:rsidR="000A3A41" w:rsidRPr="00494BCF">
        <w:rPr>
          <w:rFonts w:ascii="Sylfaen" w:hAnsi="Sylfaen" w:cs="Sylfaen"/>
          <w:lang w:val="hy-AM"/>
        </w:rPr>
        <w:t>դեպքերի</w:t>
      </w:r>
      <w:r w:rsidR="000A3A41" w:rsidRPr="00494BCF">
        <w:rPr>
          <w:lang w:val="hy-AM"/>
        </w:rPr>
        <w:t>,</w:t>
      </w:r>
      <w:r w:rsidR="000A3A41" w:rsidRPr="00494BCF">
        <w:rPr>
          <w:rFonts w:ascii="Sylfaen" w:hAnsi="Sylfaen"/>
          <w:lang w:val="hy-AM"/>
        </w:rPr>
        <w:t xml:space="preserve"> ինչպես նաև</w:t>
      </w:r>
      <w:r w:rsidR="000A3A41" w:rsidRPr="00494BCF">
        <w:rPr>
          <w:rFonts w:ascii="Sylfaen" w:eastAsia="Times New Roman" w:hAnsi="Sylfaen" w:cs="Arial"/>
          <w:color w:val="000000"/>
          <w:lang w:val="hy-AM" w:eastAsia="ru-RU"/>
        </w:rPr>
        <w:t xml:space="preserve"> ՀՀ օրենսդիր, գործադիր և դատական իշխանության մարմինների ղեկավար աշխատողների, պետական ծառայություն իրականացնող անձանց՝ իրենց պաշտոնեական դիրքի կապակցությամբ հանցակությամբ կամ նրանց կատարած հանցագործությունների (բացառությամբ կոռուպցիոն հանցագործությունների) նախաքննություն իրականացնող մարմին: Նույն ռազմավարությամբ նախատեսված է լուծարել Ազգային անվտանգության </w:t>
      </w:r>
      <w:r w:rsidR="000A3A41" w:rsidRPr="00494BCF">
        <w:rPr>
          <w:rFonts w:ascii="Sylfaen" w:eastAsia="Times New Roman" w:hAnsi="Sylfaen" w:cs="Arial"/>
          <w:color w:val="000000"/>
          <w:lang w:val="hy-AM" w:eastAsia="ru-RU"/>
        </w:rPr>
        <w:lastRenderedPageBreak/>
        <w:t>ծառայության քննչական մարմնի հաստիքները և գործիքակազմը համամասնորեն փոխանցել Հատուկ քննչական ծառայությանը, Քննչական կոմիտեին և Հակակոռուպցիոն կոմիտեին</w:t>
      </w:r>
      <w:r w:rsidR="00494BCF">
        <w:rPr>
          <w:rFonts w:ascii="Sylfaen" w:eastAsia="Times New Roman" w:hAnsi="Sylfaen" w:cs="Arial"/>
          <w:color w:val="000000"/>
          <w:lang w:val="hy-AM" w:eastAsia="ru-RU"/>
        </w:rPr>
        <w:t>։</w:t>
      </w:r>
      <w:r w:rsidR="000A3A41" w:rsidRPr="00494BCF">
        <w:rPr>
          <w:rStyle w:val="FootnoteReference"/>
          <w:rFonts w:ascii="Sylfaen" w:eastAsia="Times New Roman" w:hAnsi="Sylfaen" w:cs="Arial"/>
          <w:color w:val="000000"/>
          <w:lang w:val="hy-AM" w:eastAsia="ru-RU"/>
        </w:rPr>
        <w:footnoteReference w:id="1"/>
      </w:r>
      <w:r w:rsidR="000A3A41">
        <w:rPr>
          <w:rFonts w:ascii="Sylfaen" w:eastAsia="Times New Roman" w:hAnsi="Sylfaen" w:cs="Arial"/>
          <w:color w:val="000000"/>
          <w:lang w:val="hy-AM" w:eastAsia="ru-RU"/>
        </w:rPr>
        <w:t xml:space="preserve"> </w:t>
      </w:r>
    </w:p>
    <w:p w14:paraId="1D577905" w14:textId="77777777" w:rsidR="002E0F79" w:rsidRDefault="002E0F79" w:rsidP="00C35317">
      <w:pPr>
        <w:jc w:val="both"/>
        <w:rPr>
          <w:rFonts w:ascii="Sylfaen" w:hAnsi="Sylfaen"/>
          <w:b/>
          <w:bCs/>
          <w:lang w:val="hy-AM"/>
        </w:rPr>
      </w:pPr>
    </w:p>
    <w:p w14:paraId="28726A8B" w14:textId="76041855" w:rsidR="00573E04" w:rsidRPr="00DA47CD" w:rsidRDefault="00703C04" w:rsidP="00C35317">
      <w:pPr>
        <w:jc w:val="both"/>
        <w:rPr>
          <w:rFonts w:ascii="Sylfaen" w:hAnsi="Sylfaen"/>
          <w:lang w:val="hy-AM"/>
        </w:rPr>
      </w:pPr>
      <w:r w:rsidRPr="00192DEE">
        <w:rPr>
          <w:rFonts w:ascii="Sylfaen" w:hAnsi="Sylfaen"/>
          <w:b/>
          <w:bCs/>
          <w:lang w:val="hy-AM"/>
        </w:rPr>
        <w:t>Խնդիրն այն է,</w:t>
      </w:r>
      <w:r>
        <w:rPr>
          <w:rFonts w:ascii="Sylfaen" w:hAnsi="Sylfaen"/>
          <w:lang w:val="hy-AM"/>
        </w:rPr>
        <w:t xml:space="preserve"> որ</w:t>
      </w:r>
      <w:r w:rsidR="00DA47CD">
        <w:rPr>
          <w:rFonts w:ascii="Sylfaen" w:hAnsi="Sylfaen"/>
          <w:lang w:val="hy-AM"/>
        </w:rPr>
        <w:t xml:space="preserve"> ՀՀ ազգային անվտանգության ծառայության կողմից խոշտանգման գործեր</w:t>
      </w:r>
      <w:r w:rsidR="00EE436D">
        <w:rPr>
          <w:rFonts w:ascii="Sylfaen" w:hAnsi="Sylfaen"/>
          <w:lang w:val="hy-AM"/>
        </w:rPr>
        <w:t xml:space="preserve">ով նախաքնության իրականացումը չի </w:t>
      </w:r>
      <w:r>
        <w:rPr>
          <w:rFonts w:ascii="Sylfaen" w:hAnsi="Sylfaen"/>
          <w:lang w:val="hy-AM"/>
        </w:rPr>
        <w:t>համապատասխանում</w:t>
      </w:r>
      <w:r w:rsidR="00EE436D">
        <w:rPr>
          <w:rFonts w:ascii="Sylfaen" w:hAnsi="Sylfaen"/>
          <w:lang w:val="hy-AM"/>
        </w:rPr>
        <w:t xml:space="preserve"> խոշտանգման արդյունավետ քննության </w:t>
      </w:r>
      <w:r w:rsidR="00D97636">
        <w:rPr>
          <w:rFonts w:ascii="Sylfaen" w:hAnsi="Sylfaen"/>
          <w:lang w:val="hy-AM"/>
        </w:rPr>
        <w:t xml:space="preserve">համար ընդունված </w:t>
      </w:r>
      <w:r w:rsidR="00EE436D">
        <w:rPr>
          <w:rFonts w:ascii="Sylfaen" w:hAnsi="Sylfaen"/>
          <w:lang w:val="hy-AM"/>
        </w:rPr>
        <w:t>միջազգային չափանիշներին։</w:t>
      </w:r>
      <w:r w:rsidR="00331D64">
        <w:rPr>
          <w:rFonts w:ascii="Sylfaen" w:hAnsi="Sylfaen"/>
          <w:lang w:val="hy-AM"/>
        </w:rPr>
        <w:t xml:space="preserve"> </w:t>
      </w:r>
      <w:r w:rsidR="005741DB">
        <w:rPr>
          <w:rFonts w:ascii="Sylfaen" w:hAnsi="Sylfaen"/>
          <w:lang w:val="hy-AM"/>
        </w:rPr>
        <w:t>Այս կառույցի գործառույթը</w:t>
      </w:r>
      <w:r w:rsidR="005741DB" w:rsidRPr="005741DB">
        <w:rPr>
          <w:rFonts w:ascii="Sylfaen" w:hAnsi="Sylfaen"/>
          <w:lang w:val="hy-AM"/>
        </w:rPr>
        <w:t xml:space="preserve"> հետախուզությունն ու հակահետախուզությունն է, նաև վերջիններիս հետ առնչվող պետական անվտանգության դեմ ուղղված հանցագործությունների քննությունը:</w:t>
      </w:r>
      <w:r w:rsidR="005741DB">
        <w:rPr>
          <w:rFonts w:ascii="Sylfaen" w:hAnsi="Sylfaen"/>
          <w:lang w:val="hy-AM"/>
        </w:rPr>
        <w:t xml:space="preserve"> Ավելին, </w:t>
      </w:r>
      <w:r w:rsidR="00573E04" w:rsidRPr="00DA47CD">
        <w:rPr>
          <w:rFonts w:ascii="Sylfaen" w:hAnsi="Sylfaen"/>
          <w:lang w:val="hy-AM"/>
        </w:rPr>
        <w:t>«Ազգային անվտանգության մարմինների մասին» օրենքի 3-րդ հոդվածի համաձայն</w:t>
      </w:r>
      <w:r w:rsidR="00192DEE">
        <w:rPr>
          <w:rFonts w:ascii="Sylfaen" w:hAnsi="Sylfaen"/>
          <w:lang w:val="hy-AM"/>
        </w:rPr>
        <w:t xml:space="preserve">՝ </w:t>
      </w:r>
      <w:r w:rsidR="00573E04" w:rsidRPr="00DA47CD">
        <w:rPr>
          <w:rFonts w:ascii="Sylfaen" w:hAnsi="Sylfaen"/>
          <w:lang w:val="hy-AM"/>
        </w:rPr>
        <w:t xml:space="preserve">«Ազգային անվտանգության ծառայությունը (այսուհետ՝ լիազորված մարմին) </w:t>
      </w:r>
      <w:r w:rsidR="00573E04" w:rsidRPr="00D47550">
        <w:rPr>
          <w:rFonts w:ascii="Sylfaen" w:hAnsi="Sylfaen"/>
          <w:b/>
          <w:bCs/>
          <w:lang w:val="hy-AM"/>
        </w:rPr>
        <w:t>վարչապետին ենթակա մարմին է</w:t>
      </w:r>
      <w:r w:rsidR="00573E04" w:rsidRPr="008C7F3E">
        <w:rPr>
          <w:rFonts w:ascii="Sylfaen" w:hAnsi="Sylfaen"/>
          <w:lang w:val="hy-AM"/>
        </w:rPr>
        <w:t>»</w:t>
      </w:r>
      <w:r w:rsidR="00461819" w:rsidRPr="008C7F3E">
        <w:rPr>
          <w:rFonts w:ascii="Sylfaen" w:eastAsia="Times New Roman" w:hAnsi="Sylfaen" w:cs="Arial"/>
          <w:color w:val="000000"/>
          <w:lang w:val="hy-AM" w:eastAsia="ru-RU"/>
        </w:rPr>
        <w:t>, ավելին՝ դուրս է գտնվում քաղաքացիական վերահսկողությունից, այդ թվում՝ ՀՀ ազգային ժողովի կողմից վերահսկողությունից ևս</w:t>
      </w:r>
      <w:r w:rsidR="0003528D" w:rsidRPr="008C7F3E">
        <w:rPr>
          <w:rFonts w:ascii="Sylfaen" w:eastAsia="Times New Roman" w:hAnsi="Sylfaen" w:cs="Arial"/>
          <w:color w:val="000000"/>
          <w:lang w:val="hy-AM" w:eastAsia="ru-RU"/>
        </w:rPr>
        <w:t xml:space="preserve">։ </w:t>
      </w:r>
      <w:r w:rsidR="00A31849" w:rsidRPr="008C7F3E">
        <w:rPr>
          <w:rFonts w:ascii="Sylfaen" w:eastAsia="Times New Roman" w:hAnsi="Sylfaen" w:cs="Arial"/>
          <w:color w:val="000000"/>
          <w:lang w:val="hy-AM" w:eastAsia="ru-RU"/>
        </w:rPr>
        <w:t xml:space="preserve">Այլ կերպ ասած՝ </w:t>
      </w:r>
      <w:r w:rsidR="00461819" w:rsidRPr="008C7F3E">
        <w:rPr>
          <w:rFonts w:ascii="Sylfaen" w:eastAsia="Times New Roman" w:hAnsi="Sylfaen" w:cs="Arial"/>
          <w:color w:val="000000"/>
          <w:lang w:val="hy-AM" w:eastAsia="ru-RU"/>
        </w:rPr>
        <w:t>Ազգային անվտանգության ծառայության գործունեությունը թափանցիկ և հաշվետու չէ: Հետևաբար, այն չի ապահովում ՀՀ միջազգային պարտավորությունների հիման վրա խոշտանգումների և վատ վերաբերմունքի այլ դեպքերի քննության արդյունավետությունը դրա անկախության և անաչառության երաշխիքների բացակայության հիմքով:</w:t>
      </w:r>
    </w:p>
    <w:p w14:paraId="0A8853B0" w14:textId="045BF330" w:rsidR="00DA4611" w:rsidRPr="00DA4611" w:rsidRDefault="00DF178E" w:rsidP="00DA4611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Համեմատության մեջ նշենք, որ </w:t>
      </w:r>
      <w:r w:rsidRPr="00D47550">
        <w:rPr>
          <w:rFonts w:ascii="Sylfaen" w:hAnsi="Sylfaen"/>
          <w:b/>
          <w:bCs/>
          <w:lang w:val="hy-AM"/>
        </w:rPr>
        <w:t>Հատուկ քննչական ծառայությ</w:t>
      </w:r>
      <w:r>
        <w:rPr>
          <w:rFonts w:ascii="Sylfaen" w:hAnsi="Sylfaen"/>
          <w:b/>
          <w:bCs/>
          <w:lang w:val="hy-AM"/>
        </w:rPr>
        <w:t>ուն</w:t>
      </w:r>
      <w:r w:rsidR="005E2B5F">
        <w:rPr>
          <w:rFonts w:ascii="Sylfaen" w:hAnsi="Sylfaen"/>
          <w:b/>
          <w:bCs/>
          <w:lang w:val="hy-AM"/>
        </w:rPr>
        <w:t xml:space="preserve">ն այս առումով դիտարկվում է ավելի </w:t>
      </w:r>
      <w:r w:rsidRPr="00D47550">
        <w:rPr>
          <w:rFonts w:ascii="Sylfaen" w:hAnsi="Sylfaen"/>
          <w:lang w:val="hy-AM"/>
        </w:rPr>
        <w:t>անկախ</w:t>
      </w:r>
      <w:r w:rsidR="005E2B5F">
        <w:rPr>
          <w:rFonts w:ascii="Sylfaen" w:hAnsi="Sylfaen"/>
          <w:lang w:val="hy-AM"/>
        </w:rPr>
        <w:t xml:space="preserve"> կառույց խոշտանգման գործերի քննության համար</w:t>
      </w:r>
      <w:r w:rsidR="005569D0">
        <w:rPr>
          <w:rFonts w:ascii="Sylfaen" w:hAnsi="Sylfaen"/>
          <w:lang w:val="hy-AM"/>
        </w:rPr>
        <w:t>։</w:t>
      </w:r>
      <w:r w:rsidRPr="00D47550">
        <w:rPr>
          <w:rFonts w:ascii="Sylfaen" w:hAnsi="Sylfaen"/>
          <w:lang w:val="hy-AM"/>
        </w:rPr>
        <w:t xml:space="preserve"> </w:t>
      </w:r>
      <w:r w:rsidR="00DA4611">
        <w:rPr>
          <w:rFonts w:ascii="Sylfaen" w:hAnsi="Sylfaen"/>
          <w:lang w:val="hy-AM"/>
        </w:rPr>
        <w:t xml:space="preserve">Ինչպես նաև, </w:t>
      </w:r>
      <w:r w:rsidR="00DA4611" w:rsidRPr="00DA4611">
        <w:rPr>
          <w:rFonts w:ascii="Sylfaen" w:hAnsi="Sylfaen"/>
          <w:lang w:val="hy-AM"/>
        </w:rPr>
        <w:t>Խոշտանգումների և անմարդկային կամ արժանապատվությունը նվաստացնող վերաբերմունքի կամ պատժի կանխարգելման եվրոպական կոմիտեն (ԽԿԿ) ՀՀ վերաբերյալ 2015 թ. ներկայացրած զեկույցում դրական է գնահատել ՀՔԾ-ի՝ որպես մասնագիտացված քննչական մարմնի ստեղծումը և ՀՔԾ քննիչների արհեստավարժությունը։</w:t>
      </w:r>
      <w:r w:rsidR="006B7A08">
        <w:rPr>
          <w:rStyle w:val="FootnoteReference"/>
          <w:rFonts w:ascii="Sylfaen" w:hAnsi="Sylfaen"/>
          <w:lang w:val="hy-AM"/>
        </w:rPr>
        <w:footnoteReference w:id="2"/>
      </w:r>
    </w:p>
    <w:p w14:paraId="41D1B7FF" w14:textId="2AFF444F" w:rsidR="00573E04" w:rsidRPr="00D47550" w:rsidRDefault="00E40AF4" w:rsidP="00C3531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>Հիշեցնենք, որ</w:t>
      </w:r>
      <w:r w:rsidR="00D47550">
        <w:rPr>
          <w:rFonts w:ascii="Sylfaen" w:hAnsi="Sylfaen"/>
          <w:b/>
          <w:bCs/>
          <w:lang w:val="hy-AM"/>
        </w:rPr>
        <w:t xml:space="preserve"> </w:t>
      </w:r>
      <w:r w:rsidR="00573E04" w:rsidRPr="00D47550">
        <w:rPr>
          <w:rFonts w:ascii="Sylfaen" w:hAnsi="Sylfaen"/>
          <w:b/>
          <w:bCs/>
          <w:lang w:val="hy-AM"/>
        </w:rPr>
        <w:t>Հատուկ քննչական ծառայության</w:t>
      </w:r>
      <w:r w:rsidR="00573E04" w:rsidRPr="00D47550">
        <w:rPr>
          <w:rFonts w:ascii="Sylfaen" w:hAnsi="Sylfaen"/>
          <w:lang w:val="hy-AM"/>
        </w:rPr>
        <w:t xml:space="preserve"> խոշտանգումների դեմ պայքարի արդյունավետության բարձրացման ուղղությամբ քաղաքացիական հասարակությունը մշտապես առաջարկել է </w:t>
      </w:r>
      <w:r>
        <w:rPr>
          <w:rFonts w:ascii="Sylfaen" w:hAnsi="Sylfaen"/>
          <w:lang w:val="hy-AM"/>
        </w:rPr>
        <w:t>առավել հզորացնել</w:t>
      </w:r>
      <w:r w:rsidR="00573E04" w:rsidRPr="00D47550">
        <w:rPr>
          <w:rFonts w:ascii="Sylfaen" w:hAnsi="Sylfaen"/>
          <w:lang w:val="hy-AM"/>
        </w:rPr>
        <w:t xml:space="preserve"> ՀՔԾ</w:t>
      </w:r>
      <w:r>
        <w:rPr>
          <w:rFonts w:ascii="Sylfaen" w:hAnsi="Sylfaen"/>
          <w:lang w:val="hy-AM"/>
        </w:rPr>
        <w:t xml:space="preserve"> ինստիտուցիոնալ կարողությունները</w:t>
      </w:r>
      <w:r w:rsidR="00573E04" w:rsidRPr="00D47550">
        <w:rPr>
          <w:rFonts w:ascii="Sylfaen" w:hAnsi="Sylfaen"/>
          <w:lang w:val="hy-AM"/>
        </w:rPr>
        <w:t>՝ ապահովել</w:t>
      </w:r>
      <w:r w:rsidR="00AD1037">
        <w:rPr>
          <w:rFonts w:ascii="Sylfaen" w:hAnsi="Sylfaen"/>
          <w:lang w:val="hy-AM"/>
        </w:rPr>
        <w:t>ով</w:t>
      </w:r>
      <w:r w:rsidR="00573E04" w:rsidRPr="00D47550">
        <w:rPr>
          <w:rFonts w:ascii="Sylfaen" w:hAnsi="Sylfaen"/>
          <w:lang w:val="hy-AM"/>
        </w:rPr>
        <w:t xml:space="preserve"> ՀՔԾ-ի պետի ընտրությունը ՀՀ Ազգային ժողովի կողմից, ամրագրել ՀՔԾ-ի հաշվետվողականությունը Ազգային ժողովին՝ տարեկան զեկույցներով՝ արված քայլերի և առաջացած խնդիրների վերաբերյալ, նախատեսել, որ ՀՔԾ-ն որևէ ուղղակի կամ անուղղակի ենթակայություն չպետք է ունենա կառավարությանը, ապահովել խոշտանգումներից տուժած անձանց ուղիղ և անմիջական հասանելիությունը ՀՔԾ-ին</w:t>
      </w:r>
      <w:r w:rsidR="00DE0030">
        <w:rPr>
          <w:rFonts w:ascii="Sylfaen" w:hAnsi="Sylfaen"/>
          <w:lang w:val="hy-AM"/>
        </w:rPr>
        <w:t xml:space="preserve"> և այլն</w:t>
      </w:r>
      <w:r w:rsidR="00573E04" w:rsidRPr="00D47550">
        <w:rPr>
          <w:rFonts w:ascii="Sylfaen" w:hAnsi="Sylfaen"/>
          <w:lang w:val="hy-AM"/>
        </w:rPr>
        <w:t xml:space="preserve">։ </w:t>
      </w:r>
    </w:p>
    <w:p w14:paraId="6BB4DDD5" w14:textId="08A75704" w:rsidR="00573E04" w:rsidRPr="00BA6045" w:rsidRDefault="00B70889" w:rsidP="000F40B7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 xml:space="preserve">Մինչդեռ, </w:t>
      </w:r>
      <w:r w:rsidR="00B536C5" w:rsidRPr="00BA6045">
        <w:rPr>
          <w:rFonts w:ascii="Sylfaen" w:hAnsi="Sylfaen"/>
          <w:b/>
          <w:bCs/>
          <w:lang w:val="hy-AM"/>
        </w:rPr>
        <w:t>միջազգային իրավունք</w:t>
      </w:r>
      <w:r w:rsidR="003759F0" w:rsidRPr="00BA6045">
        <w:rPr>
          <w:rFonts w:ascii="Sylfaen" w:hAnsi="Sylfaen"/>
          <w:b/>
          <w:bCs/>
          <w:lang w:val="hy-AM"/>
        </w:rPr>
        <w:t>ն</w:t>
      </w:r>
      <w:r w:rsidR="003759F0">
        <w:rPr>
          <w:rFonts w:ascii="Sylfaen" w:hAnsi="Sylfaen"/>
          <w:lang w:val="hy-AM"/>
        </w:rPr>
        <w:t xml:space="preserve"> առաջարկում է</w:t>
      </w:r>
      <w:r w:rsidR="00B536C5">
        <w:rPr>
          <w:rFonts w:ascii="Sylfaen" w:hAnsi="Sylfaen"/>
          <w:lang w:val="hy-AM"/>
        </w:rPr>
        <w:t xml:space="preserve"> խոշտանգման գործերը քննող մարմնի ինստիտուցիոնալ անկախության վերաբերյալ կոնկրետ պահանջներ</w:t>
      </w:r>
      <w:r w:rsidR="00BA6045">
        <w:rPr>
          <w:rFonts w:ascii="Sylfaen" w:hAnsi="Sylfaen"/>
          <w:lang w:val="hy-AM"/>
        </w:rPr>
        <w:t>։ Մասնավորապես</w:t>
      </w:r>
      <w:r w:rsidR="00BA6045">
        <w:rPr>
          <w:rFonts w:ascii="Times New Roman" w:hAnsi="Times New Roman" w:cs="Times New Roman"/>
          <w:lang w:val="hy-AM"/>
        </w:rPr>
        <w:t>․</w:t>
      </w:r>
    </w:p>
    <w:p w14:paraId="2D7110FB" w14:textId="2FC92FD3" w:rsidR="00573E04" w:rsidRPr="00144839" w:rsidRDefault="00573E04" w:rsidP="00C35317">
      <w:pPr>
        <w:jc w:val="both"/>
        <w:rPr>
          <w:rFonts w:ascii="Sylfaen" w:hAnsi="Sylfaen"/>
          <w:lang w:val="hy-AM"/>
        </w:rPr>
      </w:pPr>
      <w:r w:rsidRPr="00062FB7">
        <w:rPr>
          <w:rFonts w:ascii="Sylfaen" w:hAnsi="Sylfaen"/>
          <w:b/>
          <w:bCs/>
          <w:lang w:val="hy-AM"/>
        </w:rPr>
        <w:t>Մարդու իրավունքների և հիմնարար ազատությունների պաշտպանության մասին եվրոպական կոնվենցիայի</w:t>
      </w:r>
      <w:r w:rsidRPr="001B5AA2">
        <w:rPr>
          <w:rFonts w:ascii="Sylfaen" w:hAnsi="Sylfaen"/>
          <w:lang w:val="hy-AM"/>
        </w:rPr>
        <w:t xml:space="preserve"> (այսուհետ՝ Կոնվենցիա) 3-րդ հոդվածի համաձայն. </w:t>
      </w:r>
      <w:r w:rsidRPr="00144839">
        <w:rPr>
          <w:rFonts w:ascii="Sylfaen" w:hAnsi="Sylfaen"/>
          <w:lang w:val="hy-AM"/>
        </w:rPr>
        <w:t xml:space="preserve">«Ոչ ոք չպետք է ենթարկվի խոշտանգումների կամ անմարդկային կամ նվաստացնող վերաբերմունքի կամ </w:t>
      </w:r>
      <w:r w:rsidRPr="00144839">
        <w:rPr>
          <w:rFonts w:ascii="Sylfaen" w:hAnsi="Sylfaen"/>
          <w:lang w:val="hy-AM"/>
        </w:rPr>
        <w:lastRenderedPageBreak/>
        <w:t>պատժի»։</w:t>
      </w:r>
      <w:r w:rsidR="00144839">
        <w:rPr>
          <w:rFonts w:ascii="Sylfaen" w:hAnsi="Sylfaen"/>
          <w:lang w:val="hy-AM"/>
        </w:rPr>
        <w:t xml:space="preserve"> </w:t>
      </w:r>
      <w:r w:rsidRPr="00144839">
        <w:rPr>
          <w:rFonts w:ascii="Sylfaen" w:hAnsi="Sylfaen"/>
          <w:lang w:val="hy-AM"/>
        </w:rPr>
        <w:t xml:space="preserve">Կոնվենցիայի 3-րդ հոդվածի </w:t>
      </w:r>
      <w:r w:rsidR="00144839">
        <w:rPr>
          <w:rFonts w:ascii="Sylfaen" w:hAnsi="Sylfaen"/>
          <w:lang w:val="hy-AM"/>
        </w:rPr>
        <w:t>իմաստով</w:t>
      </w:r>
      <w:r w:rsidRPr="00144839">
        <w:rPr>
          <w:rFonts w:ascii="Sylfaen" w:hAnsi="Sylfaen"/>
          <w:lang w:val="hy-AM"/>
        </w:rPr>
        <w:t xml:space="preserve">` </w:t>
      </w:r>
      <w:r w:rsidR="00144839" w:rsidRPr="00144839">
        <w:rPr>
          <w:rFonts w:ascii="Sylfaen" w:hAnsi="Sylfaen"/>
          <w:lang w:val="hy-AM"/>
        </w:rPr>
        <w:t>խոշտանգման կամ վատ վերաբերմունքի դեպքեր</w:t>
      </w:r>
      <w:r w:rsidR="00144839">
        <w:rPr>
          <w:rFonts w:ascii="Sylfaen" w:hAnsi="Sylfaen"/>
          <w:lang w:val="hy-AM"/>
        </w:rPr>
        <w:t>ով</w:t>
      </w:r>
      <w:r w:rsidR="00144839" w:rsidRPr="00144839">
        <w:rPr>
          <w:rFonts w:ascii="Sylfaen" w:hAnsi="Sylfaen"/>
          <w:lang w:val="hy-AM"/>
        </w:rPr>
        <w:t xml:space="preserve"> </w:t>
      </w:r>
      <w:r w:rsidRPr="00144839">
        <w:rPr>
          <w:rFonts w:ascii="Sylfaen" w:hAnsi="Sylfaen"/>
          <w:lang w:val="hy-AM"/>
        </w:rPr>
        <w:t>արդյունավետ քննությ</w:t>
      </w:r>
      <w:r w:rsidR="00144839">
        <w:rPr>
          <w:rFonts w:ascii="Sylfaen" w:hAnsi="Sylfaen"/>
          <w:lang w:val="hy-AM"/>
        </w:rPr>
        <w:t>ունն իրավունքի անբաժան մասն է։</w:t>
      </w:r>
      <w:r w:rsidRPr="00144839">
        <w:rPr>
          <w:rFonts w:ascii="Sylfaen" w:hAnsi="Sylfaen"/>
          <w:lang w:val="hy-AM"/>
        </w:rPr>
        <w:t xml:space="preserve"> </w:t>
      </w:r>
      <w:r w:rsidR="00136DFA">
        <w:rPr>
          <w:rFonts w:ascii="Sylfaen" w:hAnsi="Sylfaen"/>
          <w:lang w:val="hy-AM"/>
        </w:rPr>
        <w:t>Դ</w:t>
      </w:r>
      <w:r w:rsidR="00136DFA" w:rsidRPr="00136DFA">
        <w:rPr>
          <w:rFonts w:ascii="Sylfaen" w:hAnsi="Sylfaen"/>
          <w:lang w:val="hy-AM"/>
        </w:rPr>
        <w:t>ատարան</w:t>
      </w:r>
      <w:r w:rsidR="00136DFA">
        <w:rPr>
          <w:rFonts w:ascii="Sylfaen" w:hAnsi="Sylfaen"/>
          <w:lang w:val="hy-AM"/>
        </w:rPr>
        <w:t xml:space="preserve">ը տարբերով գործերով կայացրած </w:t>
      </w:r>
      <w:r w:rsidR="00482A0A">
        <w:rPr>
          <w:rFonts w:ascii="Sylfaen" w:hAnsi="Sylfaen"/>
          <w:lang w:val="hy-AM"/>
        </w:rPr>
        <w:t>վճիռներում</w:t>
      </w:r>
      <w:r w:rsidR="00136DFA" w:rsidRPr="00136DFA">
        <w:rPr>
          <w:rFonts w:ascii="Sylfaen" w:hAnsi="Sylfaen"/>
          <w:lang w:val="hy-AM"/>
        </w:rPr>
        <w:t xml:space="preserve"> </w:t>
      </w:r>
      <w:r w:rsidR="00482A0A">
        <w:rPr>
          <w:rFonts w:ascii="Sylfaen" w:hAnsi="Sylfaen"/>
          <w:lang w:val="hy-AM"/>
        </w:rPr>
        <w:t>հաճախ եզրահանգել է</w:t>
      </w:r>
      <w:r w:rsidR="00136DFA" w:rsidRPr="00136DFA">
        <w:rPr>
          <w:rFonts w:ascii="Sylfaen" w:hAnsi="Sylfaen"/>
          <w:lang w:val="hy-AM"/>
        </w:rPr>
        <w:t xml:space="preserve">, որ </w:t>
      </w:r>
      <w:r w:rsidR="00482A0A">
        <w:rPr>
          <w:rFonts w:ascii="Sylfaen" w:hAnsi="Sylfaen"/>
          <w:lang w:val="hy-AM"/>
        </w:rPr>
        <w:t xml:space="preserve">խոշտանգման </w:t>
      </w:r>
      <w:r w:rsidR="00136DFA" w:rsidRPr="00136DFA">
        <w:rPr>
          <w:rFonts w:ascii="Sylfaen" w:hAnsi="Sylfaen"/>
          <w:lang w:val="hy-AM"/>
        </w:rPr>
        <w:t>քննությունն անկախ չի եղել, երբ այն իրականացրել են նույն մարմնի/ստորաբաժանման ծառայողները, ինչը և իրադարձություններում ներգրավված անձինք (տե</w:t>
      </w:r>
      <w:r w:rsidR="00482A0A">
        <w:rPr>
          <w:rFonts w:ascii="Sylfaen" w:hAnsi="Sylfaen"/>
          <w:lang w:val="hy-AM"/>
        </w:rPr>
        <w:t>՛</w:t>
      </w:r>
      <w:r w:rsidR="00136DFA" w:rsidRPr="00136DFA">
        <w:rPr>
          <w:rFonts w:ascii="Sylfaen" w:hAnsi="Sylfaen"/>
          <w:lang w:val="hy-AM"/>
        </w:rPr>
        <w:t>ս</w:t>
      </w:r>
      <w:r w:rsidR="00482A0A">
        <w:rPr>
          <w:rFonts w:ascii="Sylfaen" w:hAnsi="Sylfaen"/>
          <w:lang w:val="hy-AM"/>
        </w:rPr>
        <w:t>՝</w:t>
      </w:r>
      <w:r w:rsidR="00136DFA" w:rsidRPr="00136DFA">
        <w:rPr>
          <w:rFonts w:ascii="Sylfaen" w:hAnsi="Sylfaen"/>
          <w:lang w:val="hy-AM"/>
        </w:rPr>
        <w:t xml:space="preserve"> «Ակթաշն ընդդեմ Թուրքիայի» «Իլհան ընդդեմ Թուրքիայի» «Գուլեցն ընդդեմ Թուրքիայի» և «Տոտևան ընդդեմ Բուլղարիայի» գործերը): Ավելին, միջոցների արդյունավետության որոշման համար Դատարանը ինստիտուցիոնալ արդյունավետությունը կիրառում է որպես համապատասխան չափանիշներից մեկը`պահանջելով, որ պատասխանատու մարմինը լինի «բավականաչափ անկախ» Կոնվենցիայի իրավունքի խախտման համար պատասխանատուից: Ավելին, Դատարանը նշել է, որ անկախությունը նշանակում է ոչ միայն հիերարխիկ կամ ինստիտուցիոնալ կապի բացակայություն, այլև գործնական անկախություն:</w:t>
      </w:r>
    </w:p>
    <w:p w14:paraId="443B45A2" w14:textId="6FCDB217" w:rsidR="00E74314" w:rsidRDefault="00136DFA" w:rsidP="00136DFA">
      <w:pPr>
        <w:spacing w:after="0"/>
        <w:jc w:val="both"/>
        <w:rPr>
          <w:rFonts w:ascii="Sylfaen" w:hAnsi="Sylfaen"/>
          <w:lang w:val="hy-AM"/>
        </w:rPr>
      </w:pPr>
      <w:r w:rsidRPr="00482A0A">
        <w:rPr>
          <w:rFonts w:ascii="Sylfaen" w:hAnsi="Sylfaen"/>
          <w:lang w:val="hy-AM"/>
        </w:rPr>
        <w:t xml:space="preserve">ՄԱԿ-ի </w:t>
      </w:r>
      <w:r w:rsidR="00E74314" w:rsidRPr="00482A0A">
        <w:rPr>
          <w:rFonts w:ascii="Sylfaen" w:hAnsi="Sylfaen"/>
          <w:lang w:val="hy-AM"/>
        </w:rPr>
        <w:t xml:space="preserve">Մարդու իրավունքների կոմիտեն իր 20-րդ ընդհանուր մեկնաբանության մեջ արձանագրել է, որ </w:t>
      </w:r>
      <w:r w:rsidR="00E74314" w:rsidRPr="00482A0A">
        <w:rPr>
          <w:rFonts w:ascii="Sylfaen" w:hAnsi="Sylfaen"/>
          <w:i/>
          <w:lang w:val="hy-AM"/>
        </w:rPr>
        <w:t xml:space="preserve">«բողոքները պետք է անհապաղ և </w:t>
      </w:r>
      <w:r w:rsidR="00E74314" w:rsidRPr="00482A0A">
        <w:rPr>
          <w:rFonts w:ascii="Sylfaen" w:hAnsi="Sylfaen"/>
          <w:b/>
          <w:i/>
          <w:lang w:val="hy-AM"/>
        </w:rPr>
        <w:t>անկողմնակալ</w:t>
      </w:r>
      <w:r w:rsidR="00E74314" w:rsidRPr="00482A0A">
        <w:rPr>
          <w:rFonts w:ascii="Sylfaen" w:hAnsi="Sylfaen"/>
          <w:i/>
          <w:lang w:val="hy-AM"/>
        </w:rPr>
        <w:t xml:space="preserve"> քննվեն իրավասու մարմինների կողմից, որպեսզի միջոցն արդյունավետ լինի»</w:t>
      </w:r>
      <w:r w:rsidR="00E74314" w:rsidRPr="00482A0A">
        <w:rPr>
          <w:rFonts w:ascii="Sylfaen" w:hAnsi="Sylfaen"/>
          <w:lang w:val="hy-AM"/>
        </w:rPr>
        <w:t xml:space="preserve">: Քննարկելով մասնակից պետությունների զեկույցները՝ Կոմիտեն մի քանի անգամ կոչ է արել պետություններին </w:t>
      </w:r>
      <w:r w:rsidR="00E74314" w:rsidRPr="00482A0A">
        <w:rPr>
          <w:rFonts w:ascii="Sylfaen" w:hAnsi="Sylfaen"/>
          <w:i/>
          <w:lang w:val="hy-AM"/>
        </w:rPr>
        <w:t xml:space="preserve">«ապահովել, որ վատ վերաբերմունքի, խոշտանգումների և պետության գործակալների կողմից կատարված այլ չարաշահումները անհապաղ դիտարկվեն և հետաքննվեն </w:t>
      </w:r>
      <w:r w:rsidR="00E74314" w:rsidRPr="00482A0A">
        <w:rPr>
          <w:rFonts w:ascii="Sylfaen" w:hAnsi="Sylfaen"/>
          <w:b/>
          <w:i/>
          <w:lang w:val="hy-AM"/>
        </w:rPr>
        <w:t>անկախ մարմնի կողմից</w:t>
      </w:r>
      <w:r w:rsidR="00E74314" w:rsidRPr="00482A0A">
        <w:rPr>
          <w:rFonts w:ascii="Sylfaen" w:hAnsi="Sylfaen"/>
          <w:i/>
          <w:lang w:val="hy-AM"/>
        </w:rPr>
        <w:t>»</w:t>
      </w:r>
      <w:r w:rsidR="00E74314" w:rsidRPr="00482A0A">
        <w:rPr>
          <w:rFonts w:ascii="Sylfaen" w:hAnsi="Sylfaen"/>
          <w:lang w:val="hy-AM"/>
        </w:rPr>
        <w:t xml:space="preserve">: </w:t>
      </w:r>
    </w:p>
    <w:p w14:paraId="09A0EB84" w14:textId="77777777" w:rsidR="00482A0A" w:rsidRDefault="00482A0A" w:rsidP="00482A0A">
      <w:pPr>
        <w:spacing w:after="0"/>
        <w:jc w:val="both"/>
        <w:rPr>
          <w:rFonts w:ascii="Sylfaen" w:hAnsi="Sylfaen"/>
          <w:highlight w:val="yellow"/>
          <w:lang w:val="hy-AM"/>
        </w:rPr>
      </w:pPr>
    </w:p>
    <w:p w14:paraId="30EB404E" w14:textId="6EB3FA94" w:rsidR="00E74314" w:rsidRDefault="00E74314" w:rsidP="00482A0A">
      <w:pPr>
        <w:spacing w:after="0"/>
        <w:jc w:val="both"/>
        <w:rPr>
          <w:rFonts w:ascii="Sylfaen" w:hAnsi="Sylfaen"/>
          <w:lang w:val="hy-AM"/>
        </w:rPr>
      </w:pPr>
      <w:r w:rsidRPr="00482A0A">
        <w:rPr>
          <w:rFonts w:ascii="Sylfaen" w:hAnsi="Sylfaen"/>
          <w:lang w:val="hy-AM"/>
        </w:rPr>
        <w:t xml:space="preserve">Խոշտանգումների կանխարգելման եվրոպական կոմիտեն ևս բազմիցս շեշտել է անկողմնակալ և անկախ քննությունների կարևորությունը՝ որպես խոշտանգումներից և անմարդկային վերաբերմունքից կալանավորվածների պաշտպանության միջոցներից մեկը: 2000 թվականին Կիպրոս կատարած այցից հետո կոմիտեն նշել է, որ «…աքսիոմատիկ է, որ նման [խոշտանգումների] դեպքերի վերաբերյալ հետաքննությունները պետք է ոչ միայն լինեն, այլև դիտվեն որպես ամբողջովին անկախ և անաչառ»: Այնուհետև Իսպանիայի հետ կապված կոմիտեն նշել է, որ «…Ազգային ոստիկանության և քաղաքացիական գվարդիայի ներքին հաշվետվողականության մեխանիզմների բողոքների քննությունը չի կարելի ասել, որ անկախ և անաչառ է» և ընդգծել է, որ «…անփոխարինելի է, որ անձինք Ոստիկանության դեմ բողոքների վերաբերյալ հետաքննություններ իրականացնելու համար </w:t>
      </w:r>
      <w:r w:rsidRPr="00482A0A">
        <w:rPr>
          <w:rFonts w:ascii="Sylfaen" w:hAnsi="Sylfaen"/>
          <w:b/>
          <w:lang w:val="hy-AM"/>
        </w:rPr>
        <w:t>պատասխանատուները պետք է իսկապես անկախ լինեն իրադարձություններում ներգրավվածներից</w:t>
      </w:r>
      <w:r w:rsidRPr="00482A0A">
        <w:rPr>
          <w:rFonts w:ascii="Sylfaen" w:hAnsi="Sylfaen"/>
          <w:lang w:val="hy-AM"/>
        </w:rPr>
        <w:t>»:</w:t>
      </w:r>
    </w:p>
    <w:p w14:paraId="4C0EABC1" w14:textId="77777777" w:rsidR="00E74314" w:rsidRDefault="00E74314" w:rsidP="00E74314">
      <w:pPr>
        <w:spacing w:after="0"/>
        <w:ind w:firstLine="708"/>
        <w:jc w:val="both"/>
        <w:rPr>
          <w:rFonts w:ascii="Sylfaen" w:hAnsi="Sylfaen"/>
          <w:lang w:val="hy-AM"/>
        </w:rPr>
      </w:pPr>
    </w:p>
    <w:p w14:paraId="17984F98" w14:textId="77777777" w:rsidR="003B4080" w:rsidRDefault="00E74314" w:rsidP="00F10935">
      <w:pPr>
        <w:spacing w:after="0"/>
        <w:jc w:val="both"/>
        <w:rPr>
          <w:rFonts w:ascii="Sylfaen" w:hAnsi="Sylfaen"/>
          <w:lang w:val="hy-AM"/>
        </w:rPr>
      </w:pPr>
      <w:r w:rsidRPr="00F10935">
        <w:rPr>
          <w:rFonts w:ascii="Sylfaen" w:hAnsi="Sylfaen"/>
          <w:lang w:val="hy-AM"/>
        </w:rPr>
        <w:t>Հայաստանի վերաբերյալ 2012թ. հուլիսին ընդունված եզրափակիչ հետևություններով ՄԱԿ-ի Մարդու իրավունքների կոմիտեն մտահոգություն է արտահայտել ազատազրկման վայրերում խոշտանգումների և վատ վերաբերմունքի դեպքերի քննության անկախ մեխանիզմի բացակայության առնչությամբ՝ առաջարկելով խոշտանգումների և վատ վերաբերմունքի վերաբերյալ բողոքների քննության անկախ համակարգի ստեղծում</w:t>
      </w:r>
      <w:r w:rsidR="007219DA" w:rsidRPr="00F10935">
        <w:rPr>
          <w:rFonts w:ascii="Sylfaen" w:hAnsi="Sylfaen"/>
          <w:lang w:val="hy-AM"/>
        </w:rPr>
        <w:t>։</w:t>
      </w:r>
      <w:r w:rsidRPr="00F10935">
        <w:rPr>
          <w:rStyle w:val="FootnoteReference"/>
          <w:rFonts w:ascii="Sylfaen" w:hAnsi="Sylfaen"/>
          <w:lang w:val="hy-AM"/>
        </w:rPr>
        <w:footnoteReference w:id="3"/>
      </w:r>
      <w:r>
        <w:rPr>
          <w:rFonts w:ascii="Sylfaen" w:hAnsi="Sylfaen"/>
          <w:lang w:val="hy-AM"/>
        </w:rPr>
        <w:t xml:space="preserve">  </w:t>
      </w:r>
    </w:p>
    <w:p w14:paraId="191B2E97" w14:textId="29901592" w:rsidR="00573E04" w:rsidRPr="00DD6417" w:rsidRDefault="00573E04" w:rsidP="00F10935">
      <w:pPr>
        <w:spacing w:after="0"/>
        <w:jc w:val="both"/>
        <w:rPr>
          <w:rFonts w:ascii="Sylfaen" w:hAnsi="Sylfaen"/>
          <w:lang w:val="hy-AM"/>
        </w:rPr>
      </w:pPr>
      <w:r w:rsidRPr="00DD6417">
        <w:rPr>
          <w:rFonts w:ascii="Sylfaen" w:hAnsi="Sylfaen"/>
          <w:b/>
          <w:bCs/>
          <w:lang w:val="hy-AM"/>
        </w:rPr>
        <w:lastRenderedPageBreak/>
        <w:t>Վ</w:t>
      </w:r>
      <w:r w:rsidRPr="00DD6417">
        <w:rPr>
          <w:rFonts w:ascii="Times New Roman" w:hAnsi="Times New Roman" w:cs="Times New Roman"/>
          <w:b/>
          <w:bCs/>
          <w:lang w:val="hy-AM"/>
        </w:rPr>
        <w:t>․</w:t>
      </w:r>
      <w:r w:rsidRPr="00DD6417">
        <w:rPr>
          <w:rFonts w:ascii="Sylfaen" w:hAnsi="Sylfaen"/>
          <w:b/>
          <w:bCs/>
          <w:lang w:val="hy-AM"/>
        </w:rPr>
        <w:t xml:space="preserve"> Գասպարիի վերաբերյալ կայացված որոշմամբ </w:t>
      </w:r>
      <w:r w:rsidR="00DD6417">
        <w:rPr>
          <w:rFonts w:ascii="Sylfaen" w:hAnsi="Sylfaen"/>
          <w:b/>
          <w:bCs/>
          <w:lang w:val="hy-AM"/>
        </w:rPr>
        <w:t>ՀՀ վ</w:t>
      </w:r>
      <w:r w:rsidRPr="00DD6417">
        <w:rPr>
          <w:rFonts w:ascii="Sylfaen" w:hAnsi="Sylfaen"/>
          <w:b/>
          <w:bCs/>
          <w:lang w:val="hy-AM"/>
        </w:rPr>
        <w:t>ճռաբեկ դատարանն</w:t>
      </w:r>
      <w:r w:rsidRPr="00DD6417">
        <w:rPr>
          <w:rFonts w:ascii="Sylfaen" w:hAnsi="Sylfaen"/>
          <w:lang w:val="hy-AM"/>
        </w:rPr>
        <w:t xml:space="preserve"> արձանագրել է</w:t>
      </w:r>
      <w:r w:rsidR="00DD6417">
        <w:rPr>
          <w:rStyle w:val="FootnoteReference"/>
          <w:rFonts w:ascii="Sylfaen" w:hAnsi="Sylfaen"/>
          <w:lang w:val="hy-AM"/>
        </w:rPr>
        <w:footnoteReference w:id="4"/>
      </w:r>
      <w:r w:rsidRPr="00DD6417">
        <w:rPr>
          <w:rFonts w:ascii="Sylfaen" w:hAnsi="Sylfaen"/>
          <w:lang w:val="hy-AM"/>
        </w:rPr>
        <w:t>, որ խոշտանգումների վերաբերյալ գործերով արդյունավետ քննություն կատարելու չափանիշներն են.</w:t>
      </w:r>
    </w:p>
    <w:p w14:paraId="42D70DEE" w14:textId="7A5199C3" w:rsidR="00573E04" w:rsidRPr="001D0A26" w:rsidRDefault="00573E04" w:rsidP="00C35317">
      <w:pPr>
        <w:jc w:val="both"/>
        <w:rPr>
          <w:rFonts w:ascii="Sylfaen" w:hAnsi="Sylfaen"/>
          <w:b/>
          <w:bCs/>
          <w:lang w:val="hy-AM"/>
        </w:rPr>
      </w:pPr>
      <w:r w:rsidRPr="001D0A26">
        <w:rPr>
          <w:rFonts w:ascii="Sylfaen" w:hAnsi="Sylfaen"/>
          <w:b/>
          <w:bCs/>
          <w:lang w:val="hy-AM"/>
        </w:rPr>
        <w:t>ա) քննություն իրականացնող մարմինների անկախությունը և անաչառությունը,</w:t>
      </w:r>
    </w:p>
    <w:p w14:paraId="4F3E2A58" w14:textId="47F165B9" w:rsidR="00573E04" w:rsidRPr="00BA4E07" w:rsidRDefault="00573E04" w:rsidP="00C35317">
      <w:pPr>
        <w:jc w:val="both"/>
        <w:rPr>
          <w:rFonts w:ascii="Sylfaen" w:hAnsi="Sylfaen"/>
          <w:lang w:val="hy-AM"/>
        </w:rPr>
      </w:pPr>
      <w:r w:rsidRPr="00BA4E07">
        <w:rPr>
          <w:rFonts w:ascii="Sylfaen" w:hAnsi="Sylfaen"/>
          <w:lang w:val="hy-AM"/>
        </w:rPr>
        <w:t>բ) իրավասու մարմինները պետք է գործեն պատշաճ արագությամբ,</w:t>
      </w:r>
    </w:p>
    <w:p w14:paraId="1EEB455E" w14:textId="17C7D179" w:rsidR="00573E04" w:rsidRPr="00BA4E07" w:rsidRDefault="00573E04" w:rsidP="00C35317">
      <w:pPr>
        <w:jc w:val="both"/>
        <w:rPr>
          <w:rFonts w:ascii="Sylfaen" w:hAnsi="Sylfaen"/>
          <w:lang w:val="hy-AM"/>
        </w:rPr>
      </w:pPr>
      <w:r w:rsidRPr="00BA4E07">
        <w:rPr>
          <w:rFonts w:ascii="Sylfaen" w:hAnsi="Sylfaen"/>
          <w:lang w:val="hy-AM"/>
        </w:rPr>
        <w:t>գ) քննություն իրականացնող մարմինները պետք է օժտված լինեն համապատասխան փաստերը հաստատելու, մեղավոր անձանց բացահայտելու և պատասխանատվության ենթարկելու լիարժեք իրավասությամբ,</w:t>
      </w:r>
    </w:p>
    <w:p w14:paraId="42D0E0FE" w14:textId="6E46A5E3" w:rsidR="00573E04" w:rsidRPr="00BA4E07" w:rsidRDefault="00573E04" w:rsidP="00C35317">
      <w:pPr>
        <w:jc w:val="both"/>
        <w:rPr>
          <w:rFonts w:ascii="Sylfaen" w:hAnsi="Sylfaen"/>
          <w:lang w:val="hy-AM"/>
        </w:rPr>
      </w:pPr>
      <w:r w:rsidRPr="00BA4E07">
        <w:rPr>
          <w:rFonts w:ascii="Sylfaen" w:hAnsi="Sylfaen"/>
          <w:lang w:val="hy-AM"/>
        </w:rPr>
        <w:t>դ) պետք է կատարվի մանրամասն քննություն, որն անհրաժեշտ է գործով ապացույցներն ապահովելու համար,</w:t>
      </w:r>
    </w:p>
    <w:p w14:paraId="625452CD" w14:textId="49DEB232" w:rsidR="00573E04" w:rsidRPr="00BA4E07" w:rsidRDefault="00573E04" w:rsidP="00C35317">
      <w:pPr>
        <w:jc w:val="both"/>
        <w:rPr>
          <w:rFonts w:ascii="Sylfaen" w:hAnsi="Sylfaen"/>
          <w:lang w:val="hy-AM"/>
        </w:rPr>
      </w:pPr>
      <w:r w:rsidRPr="00BA4E07">
        <w:rPr>
          <w:rFonts w:ascii="Sylfaen" w:hAnsi="Sylfaen"/>
          <w:lang w:val="hy-AM"/>
        </w:rPr>
        <w:t>ե) պետք է ապահովվի քննության նկատմամբ հասարակական հսկողությունը և տուժողի արդյունավետ ներգրավվածությունը քննությանը։</w:t>
      </w:r>
    </w:p>
    <w:p w14:paraId="23490083" w14:textId="77777777" w:rsidR="00803341" w:rsidRDefault="00573E04" w:rsidP="00C35317">
      <w:pPr>
        <w:jc w:val="both"/>
        <w:rPr>
          <w:rFonts w:ascii="Sylfaen" w:hAnsi="Sylfaen"/>
          <w:lang w:val="hy-AM"/>
        </w:rPr>
      </w:pPr>
      <w:r w:rsidRPr="00BA4E07">
        <w:rPr>
          <w:rFonts w:ascii="Sylfaen" w:hAnsi="Sylfaen"/>
          <w:lang w:val="hy-AM"/>
        </w:rPr>
        <w:t xml:space="preserve"> </w:t>
      </w:r>
    </w:p>
    <w:p w14:paraId="194521F7" w14:textId="6956225C" w:rsidR="00573E04" w:rsidRPr="00803341" w:rsidRDefault="00573E04" w:rsidP="00C35317">
      <w:pPr>
        <w:jc w:val="both"/>
        <w:rPr>
          <w:rFonts w:ascii="Sylfaen" w:hAnsi="Sylfaen"/>
          <w:lang w:val="hy-AM"/>
        </w:rPr>
      </w:pPr>
      <w:r w:rsidRPr="00803341">
        <w:rPr>
          <w:rFonts w:ascii="Sylfaen" w:hAnsi="Sylfaen"/>
          <w:lang w:val="hy-AM"/>
        </w:rPr>
        <w:t xml:space="preserve">Վճռաբեկ դատարանն Ալբերտ Հակոբջանյանի և Գագիկ Կարապետյանի գործով ընդգծել է, որ «իրականացված քննության նկատմամբ վստահության առկայության հիմնական պայմաններից է նաև քննությունն իրականացնող մարմինների ինստիտուցիոնալ և </w:t>
      </w:r>
      <w:r w:rsidRPr="00803341">
        <w:rPr>
          <w:rFonts w:ascii="Sylfaen" w:hAnsi="Sylfaen"/>
          <w:b/>
          <w:bCs/>
          <w:lang w:val="hy-AM"/>
        </w:rPr>
        <w:t>գործառութային անկախությունն ու անաչառությունը` գործնական իմաստով</w:t>
      </w:r>
      <w:r w:rsidRPr="00803341">
        <w:rPr>
          <w:rFonts w:ascii="Sylfaen" w:hAnsi="Sylfaen"/>
          <w:lang w:val="hy-AM"/>
        </w:rPr>
        <w:t>։ Օրինակ` Նալբանդյանն ընդդեմ Հայաստանի գործով Մարդու իրավունքների եվրոպական դատարանը նշել էր, որ պետական մարմինները ներգրավվել էին քննելու միևնույն դատախազության աշխատակիցների և տեղական ոստիկանության բաժնի՝ նրանց ենթակաների գործողությունները, որպիսի քննությունը դատարանը չէր կարողացել համարել անկախության և անկողմնակալության պահանջներին բավարարող: Այսինքն՝ անհրաժեշտ է նաև պատշաճ ուշադրության արժանացնել գործի քննության մեջ ներգրավված մարմինների անկախության և անաչառության ապահովումը՝ միջոցներ ձեռնարկելով բացառելու գերատեսչական շահերի հնարավոր բախումները»։</w:t>
      </w:r>
      <w:r w:rsidR="00803341">
        <w:rPr>
          <w:rStyle w:val="FootnoteReference"/>
          <w:rFonts w:ascii="Sylfaen" w:hAnsi="Sylfaen"/>
          <w:lang w:val="hy-AM"/>
        </w:rPr>
        <w:footnoteReference w:id="5"/>
      </w:r>
    </w:p>
    <w:p w14:paraId="24538FDE" w14:textId="78339EA9" w:rsidR="00573E04" w:rsidRPr="009621A1" w:rsidRDefault="003B4080" w:rsidP="00C35317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Այսպիսով, վերոնշյալ հիմնավորումների լույսի </w:t>
      </w:r>
      <w:r w:rsidRPr="003B4080">
        <w:rPr>
          <w:rFonts w:ascii="Sylfaen" w:hAnsi="Sylfaen"/>
          <w:lang w:val="hy-AM"/>
        </w:rPr>
        <w:t xml:space="preserve">ներքո նախատեսված օրենսդրական փոփոխություններով խոշտանգման վերաբերյալ գործերի մինչդատական քննությունը՝ ՀՀ ԱԱԾ քննչական ստորաբաժանմանը պատվիրակելը որևէ կերպ չի տեղավորվում նման գործերով քննության առավելագույն անկախություն և անաչառություն ապահովելու հրամայականի տրամաբանության մեջ, հաշվի առնելով այն, որ 1) նշված քննչական մարմինը գտնվում է ազգային անվտանգության մարմնի, իսկ այդ կառույցն իր հերթին՝ գործադիր մարմնի ղեկավարի ուղիղ ենթակայության տակ, 2) գործնականում նման կարգավորումը հաճախ բերելու է շահերի բախման դեպքերի, երբ հանցագործության մեջ կասկածվող </w:t>
      </w:r>
      <w:r w:rsidRPr="003B4080">
        <w:rPr>
          <w:rFonts w:ascii="Sylfaen" w:hAnsi="Sylfaen"/>
          <w:lang w:val="hy-AM"/>
        </w:rPr>
        <w:lastRenderedPageBreak/>
        <w:t xml:space="preserve">հանդիսանան հենց ԱԱԾ, այդ թվում դրա քննչական ստորաբաժանման ծառայողները իրենց իրավասությանը վերապահված բազմաթիվ այլ բնույթի գործերով քննության  վերաբերյալ </w:t>
      </w:r>
      <w:r w:rsidRPr="009621A1">
        <w:rPr>
          <w:rFonts w:ascii="Sylfaen" w:hAnsi="Sylfaen"/>
          <w:lang w:val="hy-AM"/>
        </w:rPr>
        <w:t>դեպքերով:</w:t>
      </w:r>
      <w:r w:rsidR="00573E04" w:rsidRPr="009621A1">
        <w:rPr>
          <w:rFonts w:ascii="Sylfaen" w:hAnsi="Sylfaen"/>
          <w:lang w:val="hy-AM"/>
        </w:rPr>
        <w:t xml:space="preserve"> </w:t>
      </w:r>
    </w:p>
    <w:p w14:paraId="7489B222" w14:textId="6B43F7C2" w:rsidR="003A0B08" w:rsidRPr="009621A1" w:rsidRDefault="003B4080" w:rsidP="003A0B08">
      <w:pPr>
        <w:jc w:val="both"/>
        <w:rPr>
          <w:rFonts w:ascii="Sylfaen" w:hAnsi="Sylfaen"/>
          <w:lang w:val="hy-AM"/>
        </w:rPr>
      </w:pPr>
      <w:r w:rsidRPr="009621A1">
        <w:rPr>
          <w:rFonts w:ascii="Sylfaen" w:hAnsi="Sylfaen"/>
          <w:lang w:val="hy-AM"/>
        </w:rPr>
        <w:t>Ուստի, ա</w:t>
      </w:r>
      <w:r w:rsidR="00573E04" w:rsidRPr="009621A1">
        <w:rPr>
          <w:rFonts w:ascii="Sylfaen" w:hAnsi="Sylfaen"/>
          <w:lang w:val="hy-AM"/>
        </w:rPr>
        <w:t xml:space="preserve">ռաջարկում ենք խոշտանգման </w:t>
      </w:r>
      <w:r w:rsidR="00E9661D" w:rsidRPr="009621A1">
        <w:rPr>
          <w:rFonts w:ascii="Sylfaen" w:hAnsi="Sylfaen"/>
          <w:lang w:val="hy-AM"/>
        </w:rPr>
        <w:t xml:space="preserve">գործերով </w:t>
      </w:r>
      <w:r w:rsidR="00573E04" w:rsidRPr="009621A1">
        <w:rPr>
          <w:rFonts w:ascii="Sylfaen" w:hAnsi="Sylfaen"/>
          <w:lang w:val="hy-AM"/>
        </w:rPr>
        <w:t xml:space="preserve">քննչական ենթակայությունը վերապահել </w:t>
      </w:r>
      <w:r w:rsidR="003A0B08" w:rsidRPr="009621A1">
        <w:rPr>
          <w:rFonts w:ascii="Sylfaen" w:hAnsi="Sylfaen"/>
          <w:lang w:val="hy-AM"/>
        </w:rPr>
        <w:t xml:space="preserve">ՀՀ քննչական կոմիտեին: </w:t>
      </w:r>
      <w:r w:rsidR="000B77C8" w:rsidRPr="009621A1">
        <w:rPr>
          <w:rFonts w:ascii="Sylfaen" w:hAnsi="Sylfaen"/>
          <w:lang w:val="hy-AM"/>
        </w:rPr>
        <w:t>Մասնավորապես, խ</w:t>
      </w:r>
      <w:r w:rsidR="003A0B08" w:rsidRPr="009621A1">
        <w:rPr>
          <w:rFonts w:ascii="Sylfaen" w:hAnsi="Sylfaen"/>
          <w:lang w:val="hy-AM"/>
        </w:rPr>
        <w:t>ոշտանգումների գործերով քննության արդյունավետությունն ապահովելու նպատակով անհրաժեշտ է</w:t>
      </w:r>
      <w:r w:rsidR="000B77C8" w:rsidRPr="009621A1">
        <w:rPr>
          <w:rFonts w:ascii="Sylfaen" w:hAnsi="Sylfaen"/>
          <w:lang w:val="hy-AM"/>
        </w:rPr>
        <w:t xml:space="preserve"> Ք</w:t>
      </w:r>
      <w:r w:rsidR="003A0B08" w:rsidRPr="009621A1">
        <w:rPr>
          <w:rFonts w:ascii="Sylfaen" w:hAnsi="Sylfaen"/>
          <w:lang w:val="hy-AM"/>
        </w:rPr>
        <w:t>ննչական կոմիտեի կենտրոնական ապարատում ձևավորել առանձնացված ստորաբաժանում</w:t>
      </w:r>
      <w:r w:rsidR="000B77C8" w:rsidRPr="009621A1">
        <w:rPr>
          <w:rFonts w:ascii="Sylfaen" w:hAnsi="Sylfaen"/>
          <w:lang w:val="hy-AM"/>
        </w:rPr>
        <w:t>, ինչպես նաև</w:t>
      </w:r>
      <w:r w:rsidR="003A0B08" w:rsidRPr="009621A1">
        <w:rPr>
          <w:rFonts w:ascii="Sylfaen" w:hAnsi="Sylfaen"/>
          <w:lang w:val="hy-AM"/>
        </w:rPr>
        <w:t xml:space="preserve"> համապատասխան դատավարական ղեկավարում իրականացնող ստորաբաժանում </w:t>
      </w:r>
      <w:r w:rsidR="00C52EFA" w:rsidRPr="009621A1">
        <w:rPr>
          <w:rFonts w:ascii="Sylfaen" w:hAnsi="Sylfaen"/>
          <w:lang w:val="hy-AM"/>
        </w:rPr>
        <w:t xml:space="preserve">ստեղծել </w:t>
      </w:r>
      <w:r w:rsidR="003A0B08" w:rsidRPr="009621A1">
        <w:rPr>
          <w:rFonts w:ascii="Sylfaen" w:hAnsi="Sylfaen"/>
          <w:lang w:val="hy-AM"/>
        </w:rPr>
        <w:t>նաև ՀՀ գլխավոր դատախազությ</w:t>
      </w:r>
      <w:r w:rsidR="00C52EFA" w:rsidRPr="009621A1">
        <w:rPr>
          <w:rFonts w:ascii="Sylfaen" w:hAnsi="Sylfaen"/>
          <w:lang w:val="hy-AM"/>
        </w:rPr>
        <w:t>ունում</w:t>
      </w:r>
      <w:r w:rsidR="003A0B08" w:rsidRPr="009621A1">
        <w:rPr>
          <w:rFonts w:ascii="Sylfaen" w:hAnsi="Sylfaen"/>
          <w:lang w:val="hy-AM"/>
        </w:rPr>
        <w:t xml:space="preserve">: </w:t>
      </w:r>
      <w:r w:rsidR="0098295B" w:rsidRPr="009621A1">
        <w:rPr>
          <w:rFonts w:ascii="Sylfaen" w:hAnsi="Sylfaen"/>
          <w:lang w:val="hy-AM"/>
        </w:rPr>
        <w:t>Միաժամանակ,</w:t>
      </w:r>
      <w:r w:rsidR="003A0B08" w:rsidRPr="009621A1">
        <w:rPr>
          <w:rFonts w:ascii="Sylfaen" w:hAnsi="Sylfaen"/>
          <w:lang w:val="hy-AM"/>
        </w:rPr>
        <w:t xml:space="preserve"> </w:t>
      </w:r>
      <w:r w:rsidR="00C52EFA" w:rsidRPr="009621A1">
        <w:rPr>
          <w:rFonts w:ascii="Sylfaen" w:hAnsi="Sylfaen"/>
          <w:lang w:val="hy-AM"/>
        </w:rPr>
        <w:t>Ք</w:t>
      </w:r>
      <w:r w:rsidR="003A0B08" w:rsidRPr="009621A1">
        <w:rPr>
          <w:rFonts w:ascii="Sylfaen" w:hAnsi="Sylfaen"/>
          <w:lang w:val="hy-AM"/>
        </w:rPr>
        <w:t xml:space="preserve">ննչական կոմիտեի ծառայողների </w:t>
      </w:r>
      <w:r w:rsidR="0098295B" w:rsidRPr="009621A1">
        <w:rPr>
          <w:rFonts w:ascii="Sylfaen" w:hAnsi="Sylfaen"/>
          <w:lang w:val="hy-AM"/>
        </w:rPr>
        <w:t xml:space="preserve">կողմից ենթադրյալ </w:t>
      </w:r>
      <w:r w:rsidR="003A0B08" w:rsidRPr="009621A1">
        <w:rPr>
          <w:rFonts w:ascii="Sylfaen" w:hAnsi="Sylfaen"/>
          <w:lang w:val="hy-AM"/>
        </w:rPr>
        <w:t>հանցագործություններ</w:t>
      </w:r>
      <w:r w:rsidR="0098295B" w:rsidRPr="009621A1">
        <w:rPr>
          <w:rFonts w:ascii="Sylfaen" w:hAnsi="Sylfaen"/>
          <w:lang w:val="hy-AM"/>
        </w:rPr>
        <w:t xml:space="preserve">ի քննության </w:t>
      </w:r>
      <w:r w:rsidR="003B27BE" w:rsidRPr="009621A1">
        <w:rPr>
          <w:rFonts w:ascii="Sylfaen" w:hAnsi="Sylfaen"/>
          <w:lang w:val="hy-AM"/>
        </w:rPr>
        <w:t>նպատակով</w:t>
      </w:r>
      <w:r w:rsidR="003A0B08" w:rsidRPr="009621A1">
        <w:rPr>
          <w:rFonts w:ascii="Sylfaen" w:hAnsi="Sylfaen"/>
          <w:lang w:val="hy-AM"/>
        </w:rPr>
        <w:t xml:space="preserve"> </w:t>
      </w:r>
      <w:r w:rsidR="003B27BE" w:rsidRPr="009621A1">
        <w:rPr>
          <w:rFonts w:ascii="Sylfaen" w:hAnsi="Sylfaen"/>
          <w:lang w:val="hy-AM"/>
        </w:rPr>
        <w:t>Գ</w:t>
      </w:r>
      <w:r w:rsidR="003A0B08" w:rsidRPr="009621A1">
        <w:rPr>
          <w:rFonts w:ascii="Sylfaen" w:hAnsi="Sylfaen"/>
          <w:lang w:val="hy-AM"/>
        </w:rPr>
        <w:t>լխավոր դատախազի</w:t>
      </w:r>
      <w:r w:rsidR="003B27BE" w:rsidRPr="009621A1">
        <w:rPr>
          <w:rFonts w:ascii="Sylfaen" w:hAnsi="Sylfaen"/>
          <w:lang w:val="hy-AM"/>
        </w:rPr>
        <w:t xml:space="preserve"> որոշմամբ տվյալ գործերի </w:t>
      </w:r>
      <w:r w:rsidR="00295CDE" w:rsidRPr="009621A1">
        <w:rPr>
          <w:rFonts w:ascii="Sylfaen" w:hAnsi="Sylfaen"/>
          <w:lang w:val="hy-AM"/>
        </w:rPr>
        <w:t xml:space="preserve">քննության </w:t>
      </w:r>
      <w:r w:rsidR="003A0B08" w:rsidRPr="009621A1">
        <w:rPr>
          <w:rFonts w:ascii="Sylfaen" w:hAnsi="Sylfaen"/>
          <w:lang w:val="hy-AM"/>
        </w:rPr>
        <w:t xml:space="preserve">ենթակայությունը </w:t>
      </w:r>
      <w:r w:rsidR="00854B93" w:rsidRPr="009621A1">
        <w:rPr>
          <w:rFonts w:ascii="Sylfaen" w:hAnsi="Sylfaen"/>
          <w:lang w:val="hy-AM"/>
        </w:rPr>
        <w:t>պետք</w:t>
      </w:r>
      <w:r w:rsidR="003B27BE" w:rsidRPr="009621A1">
        <w:rPr>
          <w:rFonts w:ascii="Sylfaen" w:hAnsi="Sylfaen"/>
          <w:lang w:val="hy-AM"/>
        </w:rPr>
        <w:t xml:space="preserve"> է </w:t>
      </w:r>
      <w:r w:rsidR="003A0B08" w:rsidRPr="009621A1">
        <w:rPr>
          <w:rFonts w:ascii="Sylfaen" w:hAnsi="Sylfaen"/>
          <w:lang w:val="hy-AM"/>
        </w:rPr>
        <w:t xml:space="preserve">փոխանցվել </w:t>
      </w:r>
      <w:r w:rsidR="00295CDE" w:rsidRPr="009621A1">
        <w:rPr>
          <w:rFonts w:ascii="Sylfaen" w:hAnsi="Sylfaen"/>
          <w:lang w:val="hy-AM"/>
        </w:rPr>
        <w:t>այլ նախաքննության մարմնին</w:t>
      </w:r>
      <w:r w:rsidR="003A0B08" w:rsidRPr="009621A1">
        <w:rPr>
          <w:rFonts w:ascii="Sylfaen" w:hAnsi="Sylfaen"/>
          <w:lang w:val="hy-AM"/>
        </w:rPr>
        <w:t xml:space="preserve">: </w:t>
      </w:r>
      <w:r w:rsidR="00FB58BD" w:rsidRPr="009621A1">
        <w:rPr>
          <w:rFonts w:ascii="Sylfaen" w:hAnsi="Sylfaen"/>
          <w:lang w:val="hy-AM"/>
        </w:rPr>
        <w:t>Զ</w:t>
      </w:r>
      <w:r w:rsidR="005200D9" w:rsidRPr="009621A1">
        <w:rPr>
          <w:rFonts w:ascii="Sylfaen" w:hAnsi="Sylfaen"/>
          <w:lang w:val="hy-AM"/>
        </w:rPr>
        <w:t>ուգահեռ</w:t>
      </w:r>
      <w:r w:rsidR="00FB58BD" w:rsidRPr="009621A1">
        <w:rPr>
          <w:rFonts w:ascii="Sylfaen" w:hAnsi="Sylfaen"/>
          <w:lang w:val="hy-AM"/>
        </w:rPr>
        <w:t>աբար</w:t>
      </w:r>
      <w:r w:rsidR="005200D9" w:rsidRPr="009621A1">
        <w:rPr>
          <w:rFonts w:ascii="Sylfaen" w:hAnsi="Sylfaen"/>
          <w:lang w:val="hy-AM"/>
        </w:rPr>
        <w:t xml:space="preserve">, կառավարությունն ու օրենսդիրը պետք է </w:t>
      </w:r>
      <w:r w:rsidR="0041484F" w:rsidRPr="009621A1">
        <w:rPr>
          <w:rFonts w:ascii="Sylfaen" w:hAnsi="Sylfaen"/>
          <w:lang w:val="hy-AM"/>
        </w:rPr>
        <w:t xml:space="preserve">անպայման անդրադառնան քննչական կոմիտեի ինստիոտուցիոնալ անկախության երաշխիքների </w:t>
      </w:r>
      <w:r w:rsidR="00CB1EC3" w:rsidRPr="009621A1">
        <w:rPr>
          <w:rFonts w:ascii="Sylfaen" w:hAnsi="Sylfaen"/>
          <w:lang w:val="hy-AM"/>
        </w:rPr>
        <w:t xml:space="preserve">ամրապնդմանն ու </w:t>
      </w:r>
      <w:r w:rsidR="00E216F9" w:rsidRPr="009621A1">
        <w:rPr>
          <w:rFonts w:ascii="Sylfaen" w:hAnsi="Sylfaen"/>
          <w:lang w:val="hy-AM"/>
        </w:rPr>
        <w:t xml:space="preserve">Ազգային ժողովին </w:t>
      </w:r>
      <w:r w:rsidR="00CB1EC3" w:rsidRPr="009621A1">
        <w:rPr>
          <w:rFonts w:ascii="Sylfaen" w:hAnsi="Sylfaen"/>
          <w:lang w:val="hy-AM"/>
        </w:rPr>
        <w:t xml:space="preserve">հաշվետու լինելու </w:t>
      </w:r>
      <w:r w:rsidR="00E216F9" w:rsidRPr="009621A1">
        <w:rPr>
          <w:rFonts w:ascii="Sylfaen" w:hAnsi="Sylfaen"/>
          <w:lang w:val="hy-AM"/>
        </w:rPr>
        <w:t>խնդրին</w:t>
      </w:r>
      <w:r w:rsidR="0005229E" w:rsidRPr="009621A1">
        <w:rPr>
          <w:rFonts w:ascii="Sylfaen" w:hAnsi="Sylfaen"/>
          <w:lang w:val="hy-AM"/>
        </w:rPr>
        <w:t xml:space="preserve"> առաջիկայում սպասվող սահմանադրական փոփոխությունների համատեքստում։</w:t>
      </w:r>
    </w:p>
    <w:p w14:paraId="4564A9C8" w14:textId="77777777" w:rsidR="00CA2825" w:rsidRPr="004813DF" w:rsidRDefault="00CA2825" w:rsidP="00573E04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</w:p>
    <w:p w14:paraId="3693794E" w14:textId="0B9B4E16" w:rsidR="00EB4D49" w:rsidRDefault="00EB4D49" w:rsidP="00EB4D49">
      <w:pPr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  <w:r w:rsidRPr="004813DF"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>Թրանսփարենսի Ինթերնեշնլ հակակոռուպցիոն կենտրոն</w:t>
      </w:r>
    </w:p>
    <w:p w14:paraId="1CA43896" w14:textId="77777777" w:rsidR="00EB4D49" w:rsidRPr="004813DF" w:rsidRDefault="00EB4D49" w:rsidP="00EB4D49">
      <w:pPr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  <w:r w:rsidRPr="004813DF"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>Բաց հասարակության հիմնադրամներ-Հայաստան</w:t>
      </w:r>
    </w:p>
    <w:p w14:paraId="66AB1893" w14:textId="3009776A" w:rsidR="007D07D0" w:rsidRPr="004A4AC7" w:rsidRDefault="006B126D" w:rsidP="00AA3202">
      <w:pPr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  <w:r w:rsidRPr="004813DF"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>Հելսինկյան քաղաքացիական ասամբլեայի Վանաձորի գրասենյակ</w:t>
      </w:r>
      <w:r w:rsidR="004A4AC7"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 xml:space="preserve"> ՀԿ</w:t>
      </w:r>
    </w:p>
    <w:p w14:paraId="244A9833" w14:textId="4A2603BB" w:rsidR="007D07D0" w:rsidRPr="007D07D0" w:rsidRDefault="007D07D0" w:rsidP="00AA3202">
      <w:pPr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>Իրավունքի զարգացման և պաշտպանության հիմնադրամ</w:t>
      </w:r>
    </w:p>
    <w:p w14:paraId="00A9DD61" w14:textId="10068F10" w:rsidR="006B126D" w:rsidRPr="007D07D0" w:rsidRDefault="006B126D" w:rsidP="00AA3202">
      <w:pPr>
        <w:spacing w:after="0"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</w:pPr>
      <w:r w:rsidRPr="007D07D0">
        <w:rPr>
          <w:rFonts w:ascii="Arial" w:hAnsi="Arial" w:cs="Arial"/>
          <w:color w:val="333333"/>
          <w:sz w:val="21"/>
          <w:szCs w:val="21"/>
          <w:shd w:val="clear" w:color="auto" w:fill="FFFFFF"/>
          <w:lang w:val="hy-AM"/>
        </w:rPr>
        <w:t>«Իրավունքների պաշտպանություն առանց սահմանների» ՀԿ</w:t>
      </w:r>
    </w:p>
    <w:p w14:paraId="01D46FC9" w14:textId="293925CF" w:rsidR="009621A1" w:rsidRPr="004813DF" w:rsidRDefault="009F3983" w:rsidP="00573E04">
      <w:pPr>
        <w:rPr>
          <w:rFonts w:ascii="Sylfaen" w:hAnsi="Sylfaen"/>
          <w:lang w:val="hy-AM"/>
        </w:rPr>
      </w:pPr>
      <w:r w:rsidRPr="004813DF">
        <w:rPr>
          <w:rFonts w:ascii="Arial" w:hAnsi="Arial" w:cs="Arial"/>
          <w:color w:val="333333"/>
          <w:sz w:val="21"/>
          <w:szCs w:val="21"/>
          <w:lang w:val="hy-AM"/>
        </w:rPr>
        <w:br/>
      </w:r>
    </w:p>
    <w:sectPr w:rsidR="009621A1" w:rsidRPr="0048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1353" w14:textId="77777777" w:rsidR="00AE2EAE" w:rsidRDefault="00AE2EAE" w:rsidP="006B7A08">
      <w:pPr>
        <w:spacing w:after="0" w:line="240" w:lineRule="auto"/>
      </w:pPr>
      <w:r>
        <w:separator/>
      </w:r>
    </w:p>
  </w:endnote>
  <w:endnote w:type="continuationSeparator" w:id="0">
    <w:p w14:paraId="5A7D35F4" w14:textId="77777777" w:rsidR="00AE2EAE" w:rsidRDefault="00AE2EAE" w:rsidP="006B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420B" w14:textId="77777777" w:rsidR="00AE2EAE" w:rsidRDefault="00AE2EAE" w:rsidP="006B7A08">
      <w:pPr>
        <w:spacing w:after="0" w:line="240" w:lineRule="auto"/>
      </w:pPr>
      <w:r>
        <w:separator/>
      </w:r>
    </w:p>
  </w:footnote>
  <w:footnote w:type="continuationSeparator" w:id="0">
    <w:p w14:paraId="087315A1" w14:textId="77777777" w:rsidR="00AE2EAE" w:rsidRDefault="00AE2EAE" w:rsidP="006B7A08">
      <w:pPr>
        <w:spacing w:after="0" w:line="240" w:lineRule="auto"/>
      </w:pPr>
      <w:r>
        <w:continuationSeparator/>
      </w:r>
    </w:p>
  </w:footnote>
  <w:footnote w:id="1">
    <w:p w14:paraId="3E16AA8D" w14:textId="77777777" w:rsidR="000A3A41" w:rsidRPr="002F56CF" w:rsidRDefault="000A3A41" w:rsidP="000A3A41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hy-AM"/>
        </w:rPr>
        <w:t xml:space="preserve">ՀՀ հակակոռուպցիոն ռազմավարություն, ՀՀ կառավարության 2019թ. հոկտեմբերի 3-ի թիվ 1332-Ն որոշմամբ հաստատված: </w:t>
      </w:r>
    </w:p>
  </w:footnote>
  <w:footnote w:id="2">
    <w:p w14:paraId="395FB36F" w14:textId="6A1C2259" w:rsidR="006B7A08" w:rsidRPr="006B7A08" w:rsidRDefault="006B7A08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0A3A41">
        <w:rPr>
          <w:lang w:val="hy-AM"/>
        </w:rPr>
        <w:t xml:space="preserve"> </w:t>
      </w:r>
      <w:hyperlink r:id="rId1" w:history="1">
        <w:r w:rsidRPr="000A3A41">
          <w:rPr>
            <w:rStyle w:val="Hyperlink"/>
            <w:lang w:val="hy-AM"/>
          </w:rPr>
          <w:t>https://rm.coe.int/CoERMPublicCommonSearchServices/DisplayDCTMContent?documentId=09000016806bf46f</w:t>
        </w:r>
      </w:hyperlink>
      <w:r>
        <w:rPr>
          <w:lang w:val="hy-AM"/>
        </w:rPr>
        <w:t xml:space="preserve"> </w:t>
      </w:r>
    </w:p>
  </w:footnote>
  <w:footnote w:id="3">
    <w:p w14:paraId="3CC9E8A0" w14:textId="3E3BD695" w:rsidR="00E74314" w:rsidRPr="004B5BF4" w:rsidRDefault="00E74314" w:rsidP="00E74314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hyperlink r:id="rId2" w:history="1">
        <w:r w:rsidR="00F10935" w:rsidRPr="00F142C2">
          <w:rPr>
            <w:rStyle w:val="Hyperlink"/>
            <w:lang w:val="hy-AM"/>
          </w:rPr>
          <w:t>https://tbinternet.ohchr.org/_layouts/15/treatybodyexternal/Download.aspx?symbolno=CCPR/C/ARM/CO/2&amp;Lang=En</w:t>
        </w:r>
      </w:hyperlink>
      <w:r w:rsidR="00120FA5" w:rsidRPr="00E74314">
        <w:rPr>
          <w:b/>
          <w:bCs/>
          <w:color w:val="222222"/>
          <w:sz w:val="28"/>
          <w:szCs w:val="28"/>
          <w:shd w:val="clear" w:color="auto" w:fill="FFFFFF"/>
          <w:lang w:val="hy-AM"/>
        </w:rPr>
        <w:t> </w:t>
      </w:r>
      <w:r>
        <w:rPr>
          <w:rFonts w:ascii="Sylfaen" w:hAnsi="Sylfaen"/>
          <w:b/>
          <w:bCs/>
          <w:color w:val="222222"/>
          <w:sz w:val="28"/>
          <w:szCs w:val="28"/>
          <w:shd w:val="clear" w:color="auto" w:fill="FFFFFF"/>
          <w:lang w:val="hy-AM"/>
        </w:rPr>
        <w:t xml:space="preserve"> </w:t>
      </w:r>
    </w:p>
  </w:footnote>
  <w:footnote w:id="4">
    <w:p w14:paraId="16ABA69B" w14:textId="172B4944" w:rsidR="00DD6417" w:rsidRPr="00DD6417" w:rsidRDefault="00DD6417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D6417">
        <w:rPr>
          <w:lang w:val="hy-AM"/>
        </w:rPr>
        <w:t xml:space="preserve"> </w:t>
      </w:r>
      <w:r w:rsidRPr="00DD6417">
        <w:rPr>
          <w:rFonts w:ascii="Sylfaen" w:hAnsi="Sylfaen"/>
          <w:lang w:val="hy-AM"/>
        </w:rPr>
        <w:t>Վճռաբեկ դատարանի` Վարտգեզ Գասպարիի գործով 2017 թվականի օգոստոսի 30-ի թիվ ԵԱՔԴ/0190/11/16 որո</w:t>
      </w:r>
      <w:r w:rsidR="002736C8">
        <w:rPr>
          <w:rFonts w:ascii="Sylfaen" w:hAnsi="Sylfaen"/>
          <w:lang w:val="hy-AM"/>
        </w:rPr>
        <w:t>շում</w:t>
      </w:r>
    </w:p>
  </w:footnote>
  <w:footnote w:id="5">
    <w:p w14:paraId="287110AB" w14:textId="2E83F4CE" w:rsidR="00803341" w:rsidRPr="00803341" w:rsidRDefault="0080334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03341">
        <w:rPr>
          <w:lang w:val="hy-AM"/>
        </w:rPr>
        <w:t xml:space="preserve"> </w:t>
      </w:r>
      <w:r w:rsidRPr="00803341">
        <w:rPr>
          <w:rFonts w:ascii="Sylfaen" w:hAnsi="Sylfaen"/>
          <w:lang w:val="hy-AM"/>
        </w:rPr>
        <w:t>Վճռաբեկ դատարանի`Ալբերտ Հակոբջանյանի և Գագիկ Կարապետյանի գործով 2019 թվականի սեպտեմբերի 18-ի թիվ ԵԱՔԴ/0172/11/17 որոշման 23-րդ կետը: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E"/>
    <w:rsid w:val="0003528D"/>
    <w:rsid w:val="0005229E"/>
    <w:rsid w:val="00062FB7"/>
    <w:rsid w:val="00065939"/>
    <w:rsid w:val="000841A6"/>
    <w:rsid w:val="000A3A41"/>
    <w:rsid w:val="000B77C8"/>
    <w:rsid w:val="000F40B7"/>
    <w:rsid w:val="00120FA5"/>
    <w:rsid w:val="00127484"/>
    <w:rsid w:val="00136DFA"/>
    <w:rsid w:val="00144839"/>
    <w:rsid w:val="00144A6C"/>
    <w:rsid w:val="001623A3"/>
    <w:rsid w:val="00192DEE"/>
    <w:rsid w:val="00194E61"/>
    <w:rsid w:val="001B5AA2"/>
    <w:rsid w:val="001D0A26"/>
    <w:rsid w:val="00227D2F"/>
    <w:rsid w:val="002736C8"/>
    <w:rsid w:val="00295CDE"/>
    <w:rsid w:val="002B351C"/>
    <w:rsid w:val="002E0F79"/>
    <w:rsid w:val="00331D64"/>
    <w:rsid w:val="00375517"/>
    <w:rsid w:val="003759F0"/>
    <w:rsid w:val="0039534E"/>
    <w:rsid w:val="003A0B08"/>
    <w:rsid w:val="003B27BE"/>
    <w:rsid w:val="003B4080"/>
    <w:rsid w:val="003B5689"/>
    <w:rsid w:val="003C4354"/>
    <w:rsid w:val="0041484F"/>
    <w:rsid w:val="00461819"/>
    <w:rsid w:val="004813DF"/>
    <w:rsid w:val="00482A0A"/>
    <w:rsid w:val="00494BCF"/>
    <w:rsid w:val="004A4AC7"/>
    <w:rsid w:val="004E41D5"/>
    <w:rsid w:val="004E4D13"/>
    <w:rsid w:val="005200D9"/>
    <w:rsid w:val="005569D0"/>
    <w:rsid w:val="00573E04"/>
    <w:rsid w:val="005741DB"/>
    <w:rsid w:val="005B4382"/>
    <w:rsid w:val="005D2CEF"/>
    <w:rsid w:val="005E2B5F"/>
    <w:rsid w:val="005E3890"/>
    <w:rsid w:val="00621ADF"/>
    <w:rsid w:val="00644542"/>
    <w:rsid w:val="00651E76"/>
    <w:rsid w:val="00671E85"/>
    <w:rsid w:val="00693B0C"/>
    <w:rsid w:val="006B126D"/>
    <w:rsid w:val="006B7A08"/>
    <w:rsid w:val="006E56B7"/>
    <w:rsid w:val="00703C04"/>
    <w:rsid w:val="007219DA"/>
    <w:rsid w:val="007825D7"/>
    <w:rsid w:val="00784F06"/>
    <w:rsid w:val="007A3408"/>
    <w:rsid w:val="007C38F8"/>
    <w:rsid w:val="007D07D0"/>
    <w:rsid w:val="007D7787"/>
    <w:rsid w:val="00803341"/>
    <w:rsid w:val="00854B93"/>
    <w:rsid w:val="008C7F3E"/>
    <w:rsid w:val="009621A1"/>
    <w:rsid w:val="00970D11"/>
    <w:rsid w:val="0098295B"/>
    <w:rsid w:val="009F3983"/>
    <w:rsid w:val="009F3D61"/>
    <w:rsid w:val="00A31849"/>
    <w:rsid w:val="00A65125"/>
    <w:rsid w:val="00A710E8"/>
    <w:rsid w:val="00AA3202"/>
    <w:rsid w:val="00AD1037"/>
    <w:rsid w:val="00AE2EAE"/>
    <w:rsid w:val="00AE7CD3"/>
    <w:rsid w:val="00B14517"/>
    <w:rsid w:val="00B536C5"/>
    <w:rsid w:val="00B70889"/>
    <w:rsid w:val="00BA4E07"/>
    <w:rsid w:val="00BA6045"/>
    <w:rsid w:val="00BE2DF6"/>
    <w:rsid w:val="00C1631A"/>
    <w:rsid w:val="00C35317"/>
    <w:rsid w:val="00C44CED"/>
    <w:rsid w:val="00C47918"/>
    <w:rsid w:val="00C52EFA"/>
    <w:rsid w:val="00C65682"/>
    <w:rsid w:val="00C9559C"/>
    <w:rsid w:val="00CA2825"/>
    <w:rsid w:val="00CA66ED"/>
    <w:rsid w:val="00CB1EC3"/>
    <w:rsid w:val="00CD50D6"/>
    <w:rsid w:val="00D47550"/>
    <w:rsid w:val="00D97636"/>
    <w:rsid w:val="00DA20DB"/>
    <w:rsid w:val="00DA4611"/>
    <w:rsid w:val="00DA47CD"/>
    <w:rsid w:val="00DD6417"/>
    <w:rsid w:val="00DE0030"/>
    <w:rsid w:val="00DF178E"/>
    <w:rsid w:val="00DF7EFD"/>
    <w:rsid w:val="00E216F9"/>
    <w:rsid w:val="00E40AF4"/>
    <w:rsid w:val="00E74314"/>
    <w:rsid w:val="00E94736"/>
    <w:rsid w:val="00E9661D"/>
    <w:rsid w:val="00EA4DD0"/>
    <w:rsid w:val="00EB4D49"/>
    <w:rsid w:val="00EE0E4F"/>
    <w:rsid w:val="00EE436D"/>
    <w:rsid w:val="00F10935"/>
    <w:rsid w:val="00F26A3C"/>
    <w:rsid w:val="00F41999"/>
    <w:rsid w:val="00F93C5C"/>
    <w:rsid w:val="00FB58BD"/>
    <w:rsid w:val="00FD1504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309B"/>
  <w15:chartTrackingRefBased/>
  <w15:docId w15:val="{48E5A9AA-4EEF-4447-9ADE-95E44AA4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7A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A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A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binternet.ohchr.org/_layouts/15/treatybodyexternal/Download.aspx?symbolno=CCPR/C/ARM/CO/2&amp;Lang=En" TargetMode="External"/><Relationship Id="rId1" Type="http://schemas.openxmlformats.org/officeDocument/2006/relationships/hyperlink" Target="https://rm.coe.int/CoERMPublicCommonSearchServices/DisplayDCTMContent?documentId=09000016806bf4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1686</Words>
  <Characters>9615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Khachatryan</dc:creator>
  <cp:keywords/>
  <dc:description/>
  <cp:lastModifiedBy>Armine Tokhmakhyan (TI AM)</cp:lastModifiedBy>
  <cp:revision>2</cp:revision>
  <dcterms:created xsi:type="dcterms:W3CDTF">2021-10-22T08:31:00Z</dcterms:created>
  <dcterms:modified xsi:type="dcterms:W3CDTF">2021-10-22T08:31:00Z</dcterms:modified>
</cp:coreProperties>
</file>